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B3" w:rsidRPr="00566AB3" w:rsidRDefault="00566AB3" w:rsidP="0056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nl-NL"/>
        </w:rPr>
      </w:pPr>
      <w:r w:rsidRPr="00566AB3">
        <w:rPr>
          <w:rFonts w:ascii="Arial" w:eastAsia="Times New Roman" w:hAnsi="Arial" w:cs="Arial"/>
          <w:b/>
          <w:bCs/>
          <w:sz w:val="32"/>
          <w:szCs w:val="32"/>
          <w:lang w:eastAsia="nl-NL"/>
        </w:rPr>
        <w:t xml:space="preserve">NOODPROTOCOL </w:t>
      </w:r>
      <w:r w:rsidR="008E6898">
        <w:rPr>
          <w:rFonts w:ascii="Arial" w:eastAsia="Times New Roman" w:hAnsi="Arial" w:cs="Arial"/>
          <w:b/>
          <w:bCs/>
          <w:sz w:val="32"/>
          <w:szCs w:val="32"/>
          <w:lang w:eastAsia="nl-NL"/>
        </w:rPr>
        <w:t>ten tijde van COVID-19</w:t>
      </w:r>
    </w:p>
    <w:p w:rsidR="00566AB3" w:rsidRPr="00566AB3" w:rsidRDefault="00566AB3" w:rsidP="00566AB3">
      <w:pPr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b/>
          <w:bCs/>
          <w:sz w:val="19"/>
          <w:szCs w:val="19"/>
          <w:lang w:eastAsia="nl-NL"/>
        </w:rPr>
        <w:t xml:space="preserve">Behandeling van een aanval van ACUTE INTERMITTERENDE PORFYRIE </w:t>
      </w:r>
    </w:p>
    <w:p w:rsidR="00566AB3" w:rsidRPr="00566AB3" w:rsidRDefault="00566AB3" w:rsidP="00566AB3">
      <w:pPr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  <w:lang w:val="en-US" w:eastAsia="nl-NL"/>
        </w:rPr>
      </w:pPr>
      <w:r w:rsidRPr="00566AB3">
        <w:rPr>
          <w:rFonts w:ascii="Arial" w:eastAsia="Times New Roman" w:hAnsi="Arial" w:cs="Arial"/>
          <w:b/>
          <w:bCs/>
          <w:sz w:val="19"/>
          <w:szCs w:val="19"/>
          <w:lang w:val="en-US" w:eastAsia="nl-NL"/>
        </w:rPr>
        <w:t xml:space="preserve">(for English version, see page 4) 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8"/>
          <w:szCs w:val="28"/>
          <w:lang w:val="en-US" w:eastAsia="nl-NL"/>
        </w:rPr>
      </w:pPr>
    </w:p>
    <w:p w:rsidR="00566AB3" w:rsidRP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sz w:val="28"/>
          <w:szCs w:val="28"/>
          <w:lang w:eastAsia="nl-NL"/>
        </w:rPr>
      </w:pPr>
      <w:r w:rsidRPr="00566AB3">
        <w:rPr>
          <w:rFonts w:ascii="Calibri" w:eastAsia="Times New Roman" w:hAnsi="Calibri" w:cs="Calibri"/>
          <w:b/>
          <w:bCs/>
          <w:sz w:val="28"/>
          <w:szCs w:val="28"/>
          <w:lang w:eastAsia="nl-NL"/>
        </w:rPr>
        <w:t xml:space="preserve">Belangrijk 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 w:rsidRPr="00566AB3">
        <w:rPr>
          <w:rFonts w:ascii="Calibri" w:eastAsia="Times New Roman" w:hAnsi="Calibri" w:cs="Calibri"/>
          <w:lang w:eastAsia="nl-NL"/>
        </w:rPr>
        <w:t>Patiënten met een mogelijke a</w:t>
      </w:r>
      <w:r w:rsidR="00BD6348">
        <w:rPr>
          <w:rFonts w:ascii="Calibri" w:eastAsia="Times New Roman" w:hAnsi="Calibri" w:cs="Calibri"/>
          <w:lang w:eastAsia="nl-NL"/>
        </w:rPr>
        <w:t>anval van acute porfyrie</w:t>
      </w:r>
      <w:r w:rsidRPr="00566AB3">
        <w:rPr>
          <w:rFonts w:ascii="Calibri" w:eastAsia="Times New Roman" w:hAnsi="Calibri" w:cs="Calibri"/>
          <w:lang w:eastAsia="nl-NL"/>
        </w:rPr>
        <w:t xml:space="preserve"> kunnen niet wachten op triage op de SEH maar moeten direct worden gezien en behandeld. </w:t>
      </w:r>
      <w:r w:rsidRPr="00566AB3">
        <w:rPr>
          <w:rFonts w:ascii="Calibri" w:eastAsia="Times New Roman" w:hAnsi="Calibri" w:cs="Calibri"/>
          <w:b/>
          <w:bCs/>
          <w:lang w:eastAsia="nl-NL"/>
        </w:rPr>
        <w:t>Laagdrempelig overleg met de dienstdoende internist metabole ziekten van het Erasmus MC wordt aanbevolen (tijdens kantooruren</w:t>
      </w:r>
      <w:r w:rsidRPr="00376FEC">
        <w:rPr>
          <w:rFonts w:ascii="Calibri" w:eastAsia="Times New Roman" w:hAnsi="Calibri" w:cs="Calibri"/>
          <w:b/>
          <w:bCs/>
          <w:lang w:eastAsia="nl-NL"/>
        </w:rPr>
        <w:t>: via tel 0</w:t>
      </w:r>
      <w:r w:rsidR="00376FEC" w:rsidRPr="00376FEC">
        <w:rPr>
          <w:rFonts w:ascii="Calibri" w:eastAsia="Times New Roman" w:hAnsi="Calibri" w:cs="Calibri"/>
          <w:b/>
          <w:bCs/>
          <w:lang w:eastAsia="nl-NL"/>
        </w:rPr>
        <w:t>6</w:t>
      </w:r>
      <w:r w:rsidRPr="00376FEC">
        <w:rPr>
          <w:rFonts w:ascii="Calibri" w:eastAsia="Times New Roman" w:hAnsi="Calibri" w:cs="Calibri"/>
          <w:b/>
          <w:bCs/>
          <w:lang w:eastAsia="nl-NL"/>
        </w:rPr>
        <w:t>-</w:t>
      </w:r>
      <w:r w:rsidR="00376FEC" w:rsidRPr="00376FEC">
        <w:rPr>
          <w:rFonts w:ascii="Calibri" w:eastAsia="Times New Roman" w:hAnsi="Calibri" w:cs="Calibri"/>
          <w:b/>
          <w:bCs/>
          <w:lang w:eastAsia="nl-NL"/>
        </w:rPr>
        <w:t>18197776</w:t>
      </w:r>
      <w:r w:rsidRPr="00376FEC">
        <w:rPr>
          <w:rFonts w:ascii="Calibri" w:eastAsia="Times New Roman" w:hAnsi="Calibri" w:cs="Calibri"/>
          <w:b/>
          <w:bCs/>
          <w:lang w:eastAsia="nl-NL"/>
        </w:rPr>
        <w:t>, buiten kantooruren inclusief weekend via centrale 010-7040704).</w:t>
      </w:r>
    </w:p>
    <w:p w:rsid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8"/>
          <w:szCs w:val="28"/>
          <w:lang w:eastAsia="nl-NL"/>
        </w:rPr>
      </w:pPr>
    </w:p>
    <w:p w:rsidR="00EF7E80" w:rsidRPr="00566AB3" w:rsidRDefault="00EF7E80" w:rsidP="00EF7E8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nl-NL"/>
        </w:rPr>
        <w:t>Voorkómen</w:t>
      </w:r>
      <w:r w:rsidRPr="00566AB3">
        <w:rPr>
          <w:rFonts w:ascii="Calibri" w:eastAsia="Times New Roman" w:hAnsi="Calibri" w:cs="Calibri"/>
          <w:sz w:val="28"/>
          <w:szCs w:val="28"/>
          <w:lang w:eastAsia="nl-NL"/>
        </w:rPr>
        <w:t xml:space="preserve"> van een acute aanval van acute intermitterende porfyrie </w:t>
      </w:r>
    </w:p>
    <w:p w:rsidR="00EF7E80" w:rsidRPr="00C646B7" w:rsidRDefault="00C646B7" w:rsidP="00C646B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nl-NL"/>
        </w:rPr>
      </w:pPr>
      <w:r w:rsidRPr="00C646B7">
        <w:rPr>
          <w:rFonts w:ascii="Calibri" w:eastAsia="Times New Roman" w:hAnsi="Calibri" w:cs="Calibri"/>
          <w:lang w:eastAsia="nl-NL"/>
        </w:rPr>
        <w:t>1.</w:t>
      </w:r>
      <w:r>
        <w:rPr>
          <w:rFonts w:ascii="Calibri" w:eastAsia="Times New Roman" w:hAnsi="Calibri" w:cs="Calibri"/>
          <w:lang w:eastAsia="nl-NL"/>
        </w:rPr>
        <w:t xml:space="preserve"> </w:t>
      </w:r>
      <w:r w:rsidR="00EF7E80" w:rsidRPr="00C646B7">
        <w:rPr>
          <w:rFonts w:ascii="Calibri" w:eastAsia="Times New Roman" w:hAnsi="Calibri" w:cs="Calibri"/>
          <w:lang w:eastAsia="nl-NL"/>
        </w:rPr>
        <w:t>Niet alle geneesmiddelen kunnen veilig gegeven worden bij pati</w:t>
      </w:r>
      <w:r w:rsidRPr="00C646B7">
        <w:rPr>
          <w:rFonts w:ascii="Calibri" w:eastAsia="Times New Roman" w:hAnsi="Calibri" w:cs="Calibri"/>
          <w:lang w:eastAsia="nl-NL"/>
        </w:rPr>
        <w:t xml:space="preserve">ënte met </w:t>
      </w:r>
      <w:r w:rsidR="00EF7E80" w:rsidRPr="00C646B7">
        <w:rPr>
          <w:rFonts w:ascii="Calibri" w:eastAsia="Times New Roman" w:hAnsi="Calibri" w:cs="Calibri"/>
          <w:lang w:eastAsia="nl-NL"/>
        </w:rPr>
        <w:t xml:space="preserve">(dragerschap voor) acute porfyrie. </w:t>
      </w:r>
      <w:r w:rsidR="00EF7E80" w:rsidRPr="00C646B7">
        <w:rPr>
          <w:rFonts w:ascii="Calibri" w:eastAsia="Times New Roman" w:hAnsi="Calibri" w:cs="Calibri"/>
          <w:b/>
          <w:lang w:eastAsia="nl-NL"/>
        </w:rPr>
        <w:t>Controleer</w:t>
      </w:r>
      <w:r w:rsidR="00EF7E80" w:rsidRPr="00C646B7">
        <w:rPr>
          <w:rFonts w:ascii="Calibri" w:eastAsia="Times New Roman" w:hAnsi="Calibri" w:cs="Calibri"/>
          <w:b/>
          <w:lang w:eastAsia="nl-NL"/>
        </w:rPr>
        <w:t xml:space="preserve"> daarom altijd de </w:t>
      </w:r>
      <w:r w:rsidR="00EF7E80" w:rsidRPr="00C646B7">
        <w:rPr>
          <w:rFonts w:ascii="Calibri" w:eastAsia="Times New Roman" w:hAnsi="Calibri" w:cs="Calibri"/>
          <w:b/>
          <w:lang w:eastAsia="nl-NL"/>
        </w:rPr>
        <w:t xml:space="preserve">geneesmiddelen op </w:t>
      </w:r>
      <w:hyperlink r:id="rId7" w:history="1">
        <w:r w:rsidR="00EF7E80" w:rsidRPr="00C646B7">
          <w:rPr>
            <w:rStyle w:val="Hyperlink"/>
            <w:rFonts w:ascii="Calibri" w:eastAsia="Times New Roman" w:hAnsi="Calibri" w:cs="Calibri"/>
            <w:b/>
            <w:sz w:val="22"/>
            <w:szCs w:val="22"/>
            <w:lang w:eastAsia="nl-NL"/>
          </w:rPr>
          <w:t>http://www.drugs-porphyria.org</w:t>
        </w:r>
      </w:hyperlink>
      <w:r w:rsidR="00EF7E80" w:rsidRPr="00C646B7">
        <w:rPr>
          <w:rFonts w:ascii="Calibri" w:eastAsia="Times New Roman" w:hAnsi="Calibri" w:cs="Calibri"/>
          <w:b/>
          <w:lang w:eastAsia="nl-NL"/>
        </w:rPr>
        <w:t xml:space="preserve">. </w:t>
      </w:r>
      <w:r w:rsidR="00EF7E80" w:rsidRPr="00C646B7">
        <w:rPr>
          <w:rFonts w:ascii="Calibri" w:eastAsia="Times New Roman" w:hAnsi="Calibri" w:cs="Calibri"/>
          <w:lang w:eastAsia="nl-NL"/>
        </w:rPr>
        <w:t xml:space="preserve"> </w:t>
      </w:r>
      <w:r w:rsidRPr="00C646B7">
        <w:rPr>
          <w:rFonts w:ascii="Calibri" w:eastAsia="Times New Roman" w:hAnsi="Calibri" w:cs="Calibri"/>
          <w:lang w:eastAsia="nl-NL"/>
        </w:rPr>
        <w:t xml:space="preserve">Zie </w:t>
      </w:r>
      <w:r w:rsidR="00D83C0B">
        <w:rPr>
          <w:rFonts w:ascii="Calibri" w:eastAsia="Times New Roman" w:hAnsi="Calibri" w:cs="Calibri"/>
          <w:lang w:eastAsia="nl-NL"/>
        </w:rPr>
        <w:t xml:space="preserve">bijlage 1 op </w:t>
      </w:r>
      <w:r>
        <w:rPr>
          <w:rFonts w:ascii="Calibri" w:eastAsia="Times New Roman" w:hAnsi="Calibri" w:cs="Calibri"/>
          <w:lang w:eastAsia="nl-NL"/>
        </w:rPr>
        <w:t>pagina 5</w:t>
      </w:r>
      <w:r w:rsidRPr="00C646B7">
        <w:rPr>
          <w:rFonts w:ascii="Calibri" w:eastAsia="Times New Roman" w:hAnsi="Calibri" w:cs="Calibri"/>
          <w:lang w:eastAsia="nl-NL"/>
        </w:rPr>
        <w:t xml:space="preserve"> </w:t>
      </w:r>
      <w:r>
        <w:rPr>
          <w:rFonts w:ascii="Calibri" w:eastAsia="Times New Roman" w:hAnsi="Calibri" w:cs="Calibri"/>
          <w:lang w:eastAsia="nl-NL"/>
        </w:rPr>
        <w:t>v</w:t>
      </w:r>
      <w:r w:rsidRPr="00C646B7">
        <w:rPr>
          <w:rFonts w:ascii="Calibri" w:eastAsia="Times New Roman" w:hAnsi="Calibri" w:cs="Calibri"/>
          <w:lang w:eastAsia="nl-NL"/>
        </w:rPr>
        <w:t>oor de veiligheid van en</w:t>
      </w:r>
      <w:r>
        <w:rPr>
          <w:rFonts w:ascii="Calibri" w:eastAsia="Times New Roman" w:hAnsi="Calibri" w:cs="Calibri"/>
          <w:lang w:eastAsia="nl-NL"/>
        </w:rPr>
        <w:t>kele</w:t>
      </w:r>
      <w:r w:rsidRPr="00C646B7">
        <w:rPr>
          <w:rFonts w:ascii="Calibri" w:eastAsia="Times New Roman" w:hAnsi="Calibri" w:cs="Calibri"/>
          <w:lang w:eastAsia="nl-NL"/>
        </w:rPr>
        <w:t xml:space="preserve"> veel voorgeschreven medicijnen.</w:t>
      </w:r>
      <w:r w:rsidRPr="00C646B7">
        <w:rPr>
          <w:rFonts w:ascii="Calibri" w:eastAsia="Times New Roman" w:hAnsi="Calibri" w:cs="Calibri"/>
          <w:b/>
          <w:lang w:eastAsia="nl-NL"/>
        </w:rPr>
        <w:t xml:space="preserve"> </w:t>
      </w:r>
      <w:r>
        <w:rPr>
          <w:rFonts w:ascii="Calibri" w:eastAsia="Times New Roman" w:hAnsi="Calibri" w:cs="Calibri"/>
          <w:b/>
          <w:lang w:eastAsia="nl-NL"/>
        </w:rPr>
        <w:t xml:space="preserve"> </w:t>
      </w:r>
      <w:r w:rsidR="00EF7E80" w:rsidRPr="00C646B7">
        <w:rPr>
          <w:rFonts w:ascii="Calibri" w:eastAsia="Times New Roman" w:hAnsi="Calibri" w:cs="Calibri"/>
          <w:lang w:eastAsia="nl-NL"/>
        </w:rPr>
        <w:t>Voor achtergrond informatie kunt u ook terecht op www.porphyria.eu</w:t>
      </w:r>
    </w:p>
    <w:p w:rsidR="00EF7E80" w:rsidRPr="00566AB3" w:rsidRDefault="00EF7E80" w:rsidP="00EF7E8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2.</w:t>
      </w:r>
      <w:r w:rsidRPr="00566AB3">
        <w:rPr>
          <w:rFonts w:ascii="Calibri" w:eastAsia="Times New Roman" w:hAnsi="Calibri" w:cs="Calibri"/>
          <w:lang w:eastAsia="nl-NL"/>
        </w:rPr>
        <w:t xml:space="preserve"> </w:t>
      </w:r>
      <w:r>
        <w:rPr>
          <w:rFonts w:ascii="Calibri" w:eastAsia="Times New Roman" w:hAnsi="Calibri" w:cs="Calibri"/>
          <w:lang w:eastAsia="nl-NL"/>
        </w:rPr>
        <w:t xml:space="preserve">Voorkom langdurig nuchter zijn. Onderdruk daarom misselijkheid en braken (metoclopramide en </w:t>
      </w:r>
      <w:proofErr w:type="spellStart"/>
      <w:r>
        <w:rPr>
          <w:rFonts w:ascii="Calibri" w:eastAsia="Times New Roman" w:hAnsi="Calibri" w:cs="Calibri"/>
          <w:lang w:eastAsia="nl-NL"/>
        </w:rPr>
        <w:t>ondansetron</w:t>
      </w:r>
      <w:proofErr w:type="spellEnd"/>
      <w:r>
        <w:rPr>
          <w:rFonts w:ascii="Calibri" w:eastAsia="Times New Roman" w:hAnsi="Calibri" w:cs="Calibri"/>
          <w:lang w:eastAsia="nl-NL"/>
        </w:rPr>
        <w:t xml:space="preserve"> kunnen veilig gegeven worden). I</w:t>
      </w:r>
      <w:r>
        <w:rPr>
          <w:rFonts w:ascii="Calibri" w:eastAsia="Times New Roman" w:hAnsi="Calibri" w:cs="Calibri"/>
          <w:lang w:eastAsia="nl-NL"/>
        </w:rPr>
        <w:t>ndien patiënt kan eten en/of drinken: laat patiënt koolhydraatrijke voeding eten of koolhydraatrijke drank drinken</w:t>
      </w:r>
      <w:r>
        <w:rPr>
          <w:rFonts w:ascii="Calibri" w:eastAsia="Times New Roman" w:hAnsi="Calibri" w:cs="Calibri"/>
          <w:lang w:eastAsia="nl-NL"/>
        </w:rPr>
        <w:t xml:space="preserve"> enkele malen per dag</w:t>
      </w:r>
      <w:r>
        <w:rPr>
          <w:rFonts w:ascii="Calibri" w:eastAsia="Times New Roman" w:hAnsi="Calibri" w:cs="Calibri"/>
          <w:lang w:eastAsia="nl-NL"/>
        </w:rPr>
        <w:t>. Indien orale intake niet mogelijk is: s</w:t>
      </w:r>
      <w:r w:rsidRPr="00566AB3">
        <w:rPr>
          <w:rFonts w:ascii="Calibri" w:eastAsia="Times New Roman" w:hAnsi="Calibri" w:cs="Calibri"/>
          <w:lang w:eastAsia="nl-NL"/>
        </w:rPr>
        <w:t xml:space="preserve">tart met een infuus glucose 10%, 2 liter per 24 uur; bij het ontstaan van hyperglycemie kan insuline worden gegeven. </w:t>
      </w:r>
    </w:p>
    <w:p w:rsidR="00EF7E80" w:rsidRPr="00566AB3" w:rsidRDefault="00D352A6" w:rsidP="00EF7E8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3</w:t>
      </w:r>
      <w:r w:rsidR="00EF7E80" w:rsidRPr="00566AB3">
        <w:rPr>
          <w:rFonts w:ascii="Calibri" w:eastAsia="Times New Roman" w:hAnsi="Calibri" w:cs="Calibri"/>
          <w:lang w:eastAsia="nl-NL"/>
        </w:rPr>
        <w:t xml:space="preserve">. Stop of behandel identificeerbare oorzaken van de acute aanval. (Bekende uitlokkende factoren zijn CYP450 inducerende medicijnen, hormonale veranderingen, infecties, vasten, roken, alcohol, overmatige inspanning, extreme kou en stress) </w:t>
      </w:r>
    </w:p>
    <w:p w:rsidR="00EF7E80" w:rsidRPr="00566AB3" w:rsidRDefault="00C646B7" w:rsidP="00EF7E8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4</w:t>
      </w:r>
      <w:r w:rsidR="00EF7E80" w:rsidRPr="00566AB3">
        <w:rPr>
          <w:rFonts w:ascii="Calibri" w:eastAsia="Times New Roman" w:hAnsi="Calibri" w:cs="Calibri"/>
          <w:lang w:eastAsia="nl-NL"/>
        </w:rPr>
        <w:t xml:space="preserve">. Onderdruk koorts door het geven van paracetamol 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8"/>
          <w:szCs w:val="28"/>
          <w:lang w:eastAsia="nl-NL"/>
        </w:rPr>
      </w:pPr>
      <w:r w:rsidRPr="00566AB3">
        <w:rPr>
          <w:rFonts w:ascii="Calibri" w:eastAsia="Times New Roman" w:hAnsi="Calibri" w:cs="Calibri"/>
          <w:b/>
          <w:bCs/>
          <w:sz w:val="28"/>
          <w:szCs w:val="28"/>
          <w:lang w:eastAsia="nl-NL"/>
        </w:rPr>
        <w:lastRenderedPageBreak/>
        <w:t>Behandeling</w:t>
      </w:r>
      <w:r w:rsidRPr="00566AB3">
        <w:rPr>
          <w:rFonts w:ascii="Calibri" w:eastAsia="Times New Roman" w:hAnsi="Calibri" w:cs="Calibri"/>
          <w:sz w:val="28"/>
          <w:szCs w:val="28"/>
          <w:lang w:eastAsia="nl-NL"/>
        </w:rPr>
        <w:t xml:space="preserve"> van een acute aanval van acute intermitterende porfyrie </w:t>
      </w:r>
    </w:p>
    <w:p w:rsidR="00BD6348" w:rsidRDefault="00BD6348" w:rsidP="00E03369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lang w:eastAsia="nl-NL"/>
        </w:rPr>
      </w:pPr>
      <w:r w:rsidRPr="00BD6348">
        <w:rPr>
          <w:rFonts w:ascii="Calibri" w:eastAsia="Times New Roman" w:hAnsi="Calibri" w:cs="Calibri"/>
          <w:lang w:eastAsia="nl-NL"/>
        </w:rPr>
        <w:t xml:space="preserve">Bij een ernstige aanval (zoals bij hevige pijn, hypertensie, tachycardie, braken of neurologische afwijkingen), </w:t>
      </w:r>
      <w:r>
        <w:rPr>
          <w:rFonts w:ascii="Calibri" w:eastAsia="Times New Roman" w:hAnsi="Calibri" w:cs="Calibri"/>
          <w:lang w:eastAsia="nl-NL"/>
        </w:rPr>
        <w:t xml:space="preserve">of bij grote drukte op de SEH, </w:t>
      </w:r>
      <w:r w:rsidRPr="00BD6348">
        <w:rPr>
          <w:rFonts w:ascii="Calibri" w:eastAsia="Times New Roman" w:hAnsi="Calibri" w:cs="Calibri"/>
          <w:lang w:eastAsia="nl-NL"/>
        </w:rPr>
        <w:t>ongeacht aanvullende diagnostiek bekend is,  start direct (binnen 6 uur) met behandeling met Heem (</w:t>
      </w:r>
      <w:proofErr w:type="spellStart"/>
      <w:r w:rsidRPr="00BD6348">
        <w:rPr>
          <w:rFonts w:ascii="Calibri" w:eastAsia="Times New Roman" w:hAnsi="Calibri" w:cs="Calibri"/>
          <w:lang w:eastAsia="nl-NL"/>
        </w:rPr>
        <w:t>Hemine</w:t>
      </w:r>
      <w:proofErr w:type="spellEnd"/>
      <w:r w:rsidRPr="00BD6348">
        <w:rPr>
          <w:rFonts w:ascii="Calibri" w:eastAsia="Times New Roman" w:hAnsi="Calibri" w:cs="Calibri"/>
          <w:lang w:eastAsia="nl-NL"/>
        </w:rPr>
        <w:t xml:space="preserve"> (</w:t>
      </w:r>
      <w:proofErr w:type="spellStart"/>
      <w:r w:rsidRPr="00BD6348">
        <w:rPr>
          <w:rFonts w:ascii="Calibri" w:eastAsia="Times New Roman" w:hAnsi="Calibri" w:cs="Calibri"/>
          <w:lang w:eastAsia="nl-NL"/>
        </w:rPr>
        <w:t>Normosang</w:t>
      </w:r>
      <w:proofErr w:type="spellEnd"/>
      <w:r w:rsidRPr="00BD6348">
        <w:rPr>
          <w:rFonts w:ascii="Calibri" w:eastAsia="Times New Roman" w:hAnsi="Calibri" w:cs="Calibri"/>
          <w:lang w:eastAsia="nl-NL"/>
        </w:rPr>
        <w:t>®) 250 mg per dag. Het protocol voor Heem behandeling</w:t>
      </w:r>
      <w:r>
        <w:rPr>
          <w:rFonts w:ascii="Calibri" w:eastAsia="Times New Roman" w:hAnsi="Calibri" w:cs="Calibri"/>
          <w:lang w:eastAsia="nl-NL"/>
        </w:rPr>
        <w:t xml:space="preserve"> staat hieronder aangegeven (zie pagina 3).</w:t>
      </w:r>
    </w:p>
    <w:p w:rsidR="00BD6348" w:rsidRPr="00BD6348" w:rsidRDefault="00BD6348" w:rsidP="00BD6348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lang w:eastAsia="nl-NL"/>
        </w:rPr>
      </w:pPr>
      <w:r w:rsidRPr="00BD6348">
        <w:rPr>
          <w:rFonts w:ascii="Calibri" w:eastAsia="Times New Roman" w:hAnsi="Calibri" w:cs="Calibri"/>
          <w:lang w:eastAsia="nl-NL"/>
        </w:rPr>
        <w:t xml:space="preserve">Stop of behandel identificeerbare oorzaken van de acute aanval. (Bekende uitlokkende factoren zijn CYP450 inducerende medicijnen, hormonale veranderingen, infecties, vasten, roken, alcohol, overmatige inspanning, extreme kou en stress) </w:t>
      </w:r>
    </w:p>
    <w:p w:rsidR="00BD6348" w:rsidRPr="00BD6348" w:rsidRDefault="00BD6348" w:rsidP="00BD6348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lang w:eastAsia="nl-NL"/>
        </w:rPr>
      </w:pPr>
      <w:r w:rsidRPr="00BD6348">
        <w:rPr>
          <w:rFonts w:ascii="Calibri" w:eastAsia="Times New Roman" w:hAnsi="Calibri" w:cs="Calibri"/>
          <w:lang w:eastAsia="nl-NL"/>
        </w:rPr>
        <w:t xml:space="preserve">Onderdruk koorts door het geven van paracetamol </w:t>
      </w:r>
    </w:p>
    <w:p w:rsidR="00BD6348" w:rsidRPr="00BD6348" w:rsidRDefault="00BD6348" w:rsidP="00BD6348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lang w:eastAsia="nl-NL"/>
        </w:rPr>
      </w:pPr>
      <w:r w:rsidRPr="00BD6348">
        <w:rPr>
          <w:rFonts w:ascii="Calibri" w:eastAsia="Times New Roman" w:hAnsi="Calibri" w:cs="Calibri"/>
          <w:lang w:eastAsia="nl-NL"/>
        </w:rPr>
        <w:t xml:space="preserve">Geef pijnstilling: geef weloverwogen morfine (patiënten met AIP hebben </w:t>
      </w:r>
      <w:proofErr w:type="spellStart"/>
      <w:r w:rsidRPr="00BD6348">
        <w:rPr>
          <w:rFonts w:ascii="Calibri" w:eastAsia="Times New Roman" w:hAnsi="Calibri" w:cs="Calibri"/>
          <w:lang w:eastAsia="nl-NL"/>
        </w:rPr>
        <w:t>neuropathische</w:t>
      </w:r>
      <w:proofErr w:type="spellEnd"/>
      <w:r w:rsidRPr="00BD6348">
        <w:rPr>
          <w:rFonts w:ascii="Calibri" w:eastAsia="Times New Roman" w:hAnsi="Calibri" w:cs="Calibri"/>
          <w:lang w:eastAsia="nl-NL"/>
        </w:rPr>
        <w:t xml:space="preserve"> pijn). </w:t>
      </w:r>
    </w:p>
    <w:p w:rsidR="00BD6348" w:rsidRPr="00BD6348" w:rsidRDefault="00BD6348" w:rsidP="00BD6348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lang w:eastAsia="nl-NL"/>
        </w:rPr>
      </w:pPr>
      <w:r w:rsidRPr="00BD6348">
        <w:rPr>
          <w:rFonts w:ascii="Calibri" w:eastAsia="Times New Roman" w:hAnsi="Calibri" w:cs="Calibri"/>
          <w:lang w:eastAsia="nl-NL"/>
        </w:rPr>
        <w:t xml:space="preserve">Behandel een eventueel bestaande tachycardie en hypertensie met een bètablokker. Propranolol heeft de voorkeur, gezien de korte halfwaardetijd: start met een dosering van 3x daags 40 mg, oraal. </w:t>
      </w:r>
    </w:p>
    <w:p w:rsidR="003E3FEA" w:rsidRDefault="00BD6348" w:rsidP="003E3FEA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lang w:eastAsia="nl-NL"/>
        </w:rPr>
      </w:pPr>
      <w:r w:rsidRPr="00BD6348">
        <w:rPr>
          <w:rFonts w:ascii="Calibri" w:eastAsia="Times New Roman" w:hAnsi="Calibri" w:cs="Calibri"/>
          <w:lang w:eastAsia="nl-NL"/>
        </w:rPr>
        <w:t xml:space="preserve">Indien patiënt heel angstig en gespannen is: geef een benzodiazepine, zoals diazepam: 2–5 mg 2–3× daags, indien morfine en/of propranolol onvoldoende effect hebben. </w:t>
      </w:r>
    </w:p>
    <w:p w:rsidR="00BD6348" w:rsidRPr="003E3FEA" w:rsidRDefault="00BD6348" w:rsidP="003E3FEA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lang w:eastAsia="nl-NL"/>
        </w:rPr>
      </w:pPr>
      <w:r w:rsidRPr="003E3FEA">
        <w:rPr>
          <w:rFonts w:ascii="Calibri" w:eastAsia="Times New Roman" w:hAnsi="Calibri" w:cs="Calibri"/>
          <w:lang w:eastAsia="nl-NL"/>
        </w:rPr>
        <w:t xml:space="preserve">Behandel een </w:t>
      </w:r>
      <w:proofErr w:type="spellStart"/>
      <w:r w:rsidRPr="003E3FEA">
        <w:rPr>
          <w:rFonts w:ascii="Calibri" w:eastAsia="Times New Roman" w:hAnsi="Calibri" w:cs="Calibri"/>
          <w:lang w:eastAsia="nl-NL"/>
        </w:rPr>
        <w:t>hyponatriëmie</w:t>
      </w:r>
      <w:proofErr w:type="spellEnd"/>
      <w:r w:rsidRPr="003E3FEA">
        <w:rPr>
          <w:rFonts w:ascii="Calibri" w:eastAsia="Times New Roman" w:hAnsi="Calibri" w:cs="Calibri"/>
          <w:lang w:eastAsia="nl-NL"/>
        </w:rPr>
        <w:t xml:space="preserve"> (vaak SIADH, maar doe de gebruikelijke diagnostische tests). Glucose infusie kan de </w:t>
      </w:r>
      <w:proofErr w:type="spellStart"/>
      <w:r w:rsidRPr="003E3FEA">
        <w:rPr>
          <w:rFonts w:ascii="Calibri" w:eastAsia="Times New Roman" w:hAnsi="Calibri" w:cs="Calibri"/>
          <w:lang w:eastAsia="nl-NL"/>
        </w:rPr>
        <w:t>hyponatriëmie</w:t>
      </w:r>
      <w:proofErr w:type="spellEnd"/>
      <w:r w:rsidRPr="003E3FEA">
        <w:rPr>
          <w:rFonts w:ascii="Calibri" w:eastAsia="Times New Roman" w:hAnsi="Calibri" w:cs="Calibri"/>
          <w:lang w:eastAsia="nl-NL"/>
        </w:rPr>
        <w:t xml:space="preserve"> verergeren, dus controleer het natrium tijdens de behandeling. </w:t>
      </w:r>
    </w:p>
    <w:p w:rsidR="00566AB3" w:rsidRPr="00BD6348" w:rsidRDefault="00376FEC" w:rsidP="00E03369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lang w:eastAsia="nl-NL"/>
        </w:rPr>
      </w:pPr>
      <w:r w:rsidRPr="00BD6348">
        <w:rPr>
          <w:rFonts w:ascii="Calibri" w:eastAsia="Times New Roman" w:hAnsi="Calibri" w:cs="Calibri"/>
          <w:lang w:eastAsia="nl-NL"/>
        </w:rPr>
        <w:t>Indien patiënt kan eten en/of drinken: laat patiënt gelijk koolhydraatrijke voeding eten of koolhydraatrijke drank drinken. Indien orale intake niet mogelijk is: s</w:t>
      </w:r>
      <w:r w:rsidR="00566AB3" w:rsidRPr="00BD6348">
        <w:rPr>
          <w:rFonts w:ascii="Calibri" w:eastAsia="Times New Roman" w:hAnsi="Calibri" w:cs="Calibri"/>
          <w:lang w:eastAsia="nl-NL"/>
        </w:rPr>
        <w:t xml:space="preserve">tart met een infuus glucose 10%, 2 liter per 24 uur; bij het ontstaan van hyperglycemie kan insuline worden gegeven. </w:t>
      </w:r>
    </w:p>
    <w:p w:rsidR="00946CAA" w:rsidRDefault="00566AB3" w:rsidP="008A4589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360"/>
        <w:rPr>
          <w:rFonts w:ascii="Calibri" w:eastAsia="Times New Roman" w:hAnsi="Calibri" w:cs="Calibri"/>
          <w:lang w:eastAsia="nl-NL"/>
        </w:rPr>
      </w:pPr>
      <w:r w:rsidRPr="00946CAA">
        <w:rPr>
          <w:rFonts w:ascii="Calibri" w:eastAsia="Times New Roman" w:hAnsi="Calibri" w:cs="Calibri"/>
          <w:lang w:eastAsia="nl-NL"/>
        </w:rPr>
        <w:t xml:space="preserve">Neem contact op met de </w:t>
      </w:r>
      <w:r w:rsidR="00BD6348" w:rsidRPr="00946CAA">
        <w:rPr>
          <w:rFonts w:ascii="Calibri" w:eastAsia="Times New Roman" w:hAnsi="Calibri" w:cs="Calibri"/>
          <w:lang w:eastAsia="nl-NL"/>
        </w:rPr>
        <w:t>dienstdoende metabole internist van het</w:t>
      </w:r>
      <w:r w:rsidRPr="00946CAA">
        <w:rPr>
          <w:rFonts w:ascii="Calibri" w:eastAsia="Times New Roman" w:hAnsi="Calibri" w:cs="Calibri"/>
          <w:lang w:eastAsia="nl-NL"/>
        </w:rPr>
        <w:t xml:space="preserve"> Erasmus MC</w:t>
      </w:r>
      <w:r w:rsidR="00BD6348" w:rsidRPr="00946CAA">
        <w:rPr>
          <w:rFonts w:ascii="Calibri" w:eastAsia="Times New Roman" w:hAnsi="Calibri" w:cs="Calibri"/>
          <w:lang w:eastAsia="nl-NL"/>
        </w:rPr>
        <w:t xml:space="preserve">: </w:t>
      </w:r>
      <w:r w:rsidRPr="00946CAA">
        <w:rPr>
          <w:rFonts w:ascii="Calibri" w:eastAsia="Times New Roman" w:hAnsi="Calibri" w:cs="Calibri"/>
          <w:lang w:eastAsia="nl-NL"/>
        </w:rPr>
        <w:t>Dr. Langendonk</w:t>
      </w:r>
      <w:r w:rsidR="00376FEC" w:rsidRPr="00946CAA">
        <w:rPr>
          <w:rFonts w:ascii="Calibri" w:eastAsia="Times New Roman" w:hAnsi="Calibri" w:cs="Calibri"/>
          <w:lang w:eastAsia="nl-NL"/>
        </w:rPr>
        <w:t xml:space="preserve">, </w:t>
      </w:r>
      <w:r w:rsidRPr="00946CAA">
        <w:rPr>
          <w:rFonts w:ascii="Calibri" w:eastAsia="Times New Roman" w:hAnsi="Calibri" w:cs="Calibri"/>
          <w:lang w:eastAsia="nl-NL"/>
        </w:rPr>
        <w:t xml:space="preserve"> Dr. Wagenmakers </w:t>
      </w:r>
      <w:r w:rsidR="00376FEC" w:rsidRPr="00946CAA">
        <w:rPr>
          <w:rFonts w:ascii="Calibri" w:eastAsia="Times New Roman" w:hAnsi="Calibri" w:cs="Calibri"/>
          <w:lang w:eastAsia="nl-NL"/>
        </w:rPr>
        <w:t xml:space="preserve">of Dr. Peltenburg; </w:t>
      </w:r>
      <w:r w:rsidRPr="00946CAA">
        <w:rPr>
          <w:rFonts w:ascii="Calibri" w:eastAsia="Times New Roman" w:hAnsi="Calibri" w:cs="Calibri"/>
          <w:lang w:eastAsia="nl-NL"/>
        </w:rPr>
        <w:t xml:space="preserve">bereikbaar </w:t>
      </w:r>
      <w:r w:rsidR="00376FEC" w:rsidRPr="00946CAA">
        <w:rPr>
          <w:rFonts w:ascii="Calibri" w:eastAsia="Times New Roman" w:hAnsi="Calibri" w:cs="Calibri"/>
          <w:bCs/>
          <w:lang w:eastAsia="nl-NL"/>
        </w:rPr>
        <w:t>tijdens kantooruren: via tel 06-18197776, buiten kantooruren inclusief weekend via centrale 010-7040704</w:t>
      </w:r>
      <w:r w:rsidRPr="00946CAA">
        <w:rPr>
          <w:rFonts w:ascii="Calibri" w:eastAsia="Times New Roman" w:hAnsi="Calibri" w:cs="Calibri"/>
          <w:lang w:eastAsia="nl-NL"/>
        </w:rPr>
        <w:t xml:space="preserve">, en vragen naar de </w:t>
      </w:r>
      <w:r w:rsidR="00D77151" w:rsidRPr="00946CAA">
        <w:rPr>
          <w:rFonts w:ascii="Calibri" w:eastAsia="Times New Roman" w:hAnsi="Calibri" w:cs="Calibri"/>
          <w:lang w:eastAsia="nl-NL"/>
        </w:rPr>
        <w:t>dienstdoende metabole internist</w:t>
      </w:r>
      <w:r w:rsidRPr="00946CAA">
        <w:rPr>
          <w:rFonts w:ascii="Calibri" w:eastAsia="Times New Roman" w:hAnsi="Calibri" w:cs="Calibri"/>
          <w:lang w:eastAsia="nl-NL"/>
        </w:rPr>
        <w:t xml:space="preserve">. </w:t>
      </w:r>
    </w:p>
    <w:p w:rsidR="00EF7E80" w:rsidRPr="00946CAA" w:rsidRDefault="00946CAA" w:rsidP="008A4589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360"/>
        <w:rPr>
          <w:rFonts w:ascii="Calibri" w:eastAsia="Times New Roman" w:hAnsi="Calibri" w:cs="Calibri"/>
          <w:lang w:eastAsia="nl-NL"/>
        </w:rPr>
      </w:pPr>
      <w:bookmarkStart w:id="0" w:name="_GoBack"/>
      <w:bookmarkEnd w:id="0"/>
      <w:r w:rsidRPr="00946CAA">
        <w:rPr>
          <w:rFonts w:ascii="Calibri" w:eastAsia="Times New Roman" w:hAnsi="Calibri" w:cs="Calibri"/>
          <w:lang w:eastAsia="nl-NL"/>
        </w:rPr>
        <w:lastRenderedPageBreak/>
        <w:t xml:space="preserve">Niet alle geneesmiddelen kunnen veilig gegeven worden bij patiënte met (dragerschap voor) acute porfyrie. </w:t>
      </w:r>
      <w:r w:rsidRPr="00946CAA">
        <w:rPr>
          <w:rFonts w:ascii="Calibri" w:eastAsia="Times New Roman" w:hAnsi="Calibri" w:cs="Calibri"/>
          <w:b/>
          <w:lang w:eastAsia="nl-NL"/>
        </w:rPr>
        <w:t xml:space="preserve">Controleer daarom altijd de geneesmiddelen op </w:t>
      </w:r>
      <w:hyperlink r:id="rId8" w:history="1">
        <w:r w:rsidRPr="00946CAA">
          <w:rPr>
            <w:rStyle w:val="Hyperlink"/>
            <w:rFonts w:ascii="Calibri" w:eastAsia="Times New Roman" w:hAnsi="Calibri" w:cs="Calibri"/>
            <w:b/>
            <w:sz w:val="22"/>
            <w:szCs w:val="22"/>
            <w:lang w:eastAsia="nl-NL"/>
          </w:rPr>
          <w:t>http://www.drugs-porphyria.org</w:t>
        </w:r>
      </w:hyperlink>
      <w:r w:rsidRPr="00946CAA">
        <w:rPr>
          <w:rFonts w:ascii="Calibri" w:eastAsia="Times New Roman" w:hAnsi="Calibri" w:cs="Calibri"/>
          <w:b/>
          <w:lang w:eastAsia="nl-NL"/>
        </w:rPr>
        <w:t xml:space="preserve">. </w:t>
      </w:r>
      <w:r w:rsidRPr="00946CAA">
        <w:rPr>
          <w:rFonts w:ascii="Calibri" w:eastAsia="Times New Roman" w:hAnsi="Calibri" w:cs="Calibri"/>
          <w:lang w:eastAsia="nl-NL"/>
        </w:rPr>
        <w:t xml:space="preserve"> Zie bijlage 1 op pagina 5 voor de veiligheid van enkele veel voorgeschreven medicijnen.</w:t>
      </w:r>
      <w:r w:rsidRPr="00946CAA">
        <w:rPr>
          <w:rFonts w:ascii="Calibri" w:eastAsia="Times New Roman" w:hAnsi="Calibri" w:cs="Calibri"/>
          <w:b/>
          <w:lang w:eastAsia="nl-NL"/>
        </w:rPr>
        <w:t xml:space="preserve">  </w:t>
      </w:r>
      <w:r w:rsidRPr="00946CAA">
        <w:rPr>
          <w:rFonts w:ascii="Calibri" w:eastAsia="Times New Roman" w:hAnsi="Calibri" w:cs="Calibri"/>
          <w:lang w:eastAsia="nl-NL"/>
        </w:rPr>
        <w:t>Voor achtergrond informatie kunt u ook terecht op www.porphyria.eu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lang w:eastAsia="nl-NL"/>
        </w:rPr>
      </w:pPr>
    </w:p>
    <w:p w:rsidR="00376FEC" w:rsidRPr="00376FEC" w:rsidRDefault="00376FEC" w:rsidP="00376FE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sz w:val="28"/>
          <w:szCs w:val="28"/>
          <w:lang w:eastAsia="nl-NL"/>
        </w:rPr>
      </w:pPr>
      <w:r w:rsidRPr="00376FEC">
        <w:rPr>
          <w:rFonts w:ascii="Calibri" w:eastAsia="Times New Roman" w:hAnsi="Calibri" w:cs="Calibri"/>
          <w:b/>
          <w:bCs/>
          <w:sz w:val="28"/>
          <w:szCs w:val="28"/>
          <w:lang w:eastAsia="nl-NL"/>
        </w:rPr>
        <w:t xml:space="preserve">Diagnostiek bij een acute aanval van acute porfyrie </w:t>
      </w:r>
    </w:p>
    <w:p w:rsidR="00376FEC" w:rsidRPr="00376FEC" w:rsidRDefault="00D77151" w:rsidP="00376FE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Bij voorkeur: b</w:t>
      </w:r>
      <w:r w:rsidR="00376FEC" w:rsidRPr="00376FEC">
        <w:rPr>
          <w:rFonts w:ascii="Calibri" w:eastAsia="Times New Roman" w:hAnsi="Calibri" w:cs="Calibri"/>
          <w:lang w:eastAsia="nl-NL"/>
        </w:rPr>
        <w:t>evestig dat er sprake is van een acute aanval van porfyrie door bepaling van δ-</w:t>
      </w:r>
      <w:proofErr w:type="spellStart"/>
      <w:r w:rsidR="00376FEC" w:rsidRPr="00376FEC">
        <w:rPr>
          <w:rFonts w:ascii="Calibri" w:eastAsia="Times New Roman" w:hAnsi="Calibri" w:cs="Calibri"/>
          <w:lang w:eastAsia="nl-NL"/>
        </w:rPr>
        <w:t>aminolevulinezuur</w:t>
      </w:r>
      <w:proofErr w:type="spellEnd"/>
      <w:r w:rsidR="00376FEC" w:rsidRPr="00376FEC">
        <w:rPr>
          <w:rFonts w:ascii="Calibri" w:eastAsia="Times New Roman" w:hAnsi="Calibri" w:cs="Calibri"/>
          <w:lang w:eastAsia="nl-NL"/>
        </w:rPr>
        <w:t xml:space="preserve"> (ALA) en </w:t>
      </w:r>
      <w:proofErr w:type="spellStart"/>
      <w:r w:rsidR="00376FEC" w:rsidRPr="00376FEC">
        <w:rPr>
          <w:rFonts w:ascii="Calibri" w:eastAsia="Times New Roman" w:hAnsi="Calibri" w:cs="Calibri"/>
          <w:lang w:eastAsia="nl-NL"/>
        </w:rPr>
        <w:t>porphobilinogeen</w:t>
      </w:r>
      <w:proofErr w:type="spellEnd"/>
      <w:r w:rsidR="00376FEC" w:rsidRPr="00376FEC">
        <w:rPr>
          <w:rFonts w:ascii="Calibri" w:eastAsia="Times New Roman" w:hAnsi="Calibri" w:cs="Calibri"/>
          <w:lang w:eastAsia="nl-NL"/>
        </w:rPr>
        <w:t xml:space="preserve"> (PBG) in de urine en neem heparinebloed af voor bepaling van plasma ALA, PBG en porfyrie spectrum in plasma. </w:t>
      </w:r>
    </w:p>
    <w:p w:rsidR="00D77151" w:rsidRPr="00376FEC" w:rsidRDefault="00376FEC" w:rsidP="00D7715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 w:rsidRPr="00376FEC">
        <w:rPr>
          <w:rFonts w:ascii="Calibri" w:eastAsia="Times New Roman" w:hAnsi="Calibri" w:cs="Calibri"/>
          <w:lang w:eastAsia="nl-NL"/>
        </w:rPr>
        <w:t xml:space="preserve">De urine uitslagen </w:t>
      </w:r>
      <w:r w:rsidR="00D77151">
        <w:rPr>
          <w:rFonts w:ascii="Calibri" w:eastAsia="Times New Roman" w:hAnsi="Calibri" w:cs="Calibri"/>
          <w:lang w:eastAsia="nl-NL"/>
        </w:rPr>
        <w:t xml:space="preserve">kunnen, indien </w:t>
      </w:r>
      <w:r w:rsidR="00D77151" w:rsidRPr="00D77151">
        <w:rPr>
          <w:rFonts w:ascii="Calibri" w:eastAsia="Times New Roman" w:hAnsi="Calibri" w:cs="Calibri"/>
          <w:lang w:eastAsia="nl-NL"/>
        </w:rPr>
        <w:t xml:space="preserve">nodig, </w:t>
      </w:r>
      <w:r w:rsidRPr="00D77151">
        <w:rPr>
          <w:rFonts w:ascii="Calibri" w:eastAsia="Times New Roman" w:hAnsi="Calibri" w:cs="Calibri"/>
          <w:lang w:eastAsia="nl-NL"/>
        </w:rPr>
        <w:t>binnen 24-uur (CITO) bepaald worden. Er</w:t>
      </w:r>
      <w:r w:rsidRPr="00376FEC">
        <w:rPr>
          <w:rFonts w:ascii="Calibri" w:eastAsia="Times New Roman" w:hAnsi="Calibri" w:cs="Calibri"/>
          <w:lang w:eastAsia="nl-NL"/>
        </w:rPr>
        <w:t xml:space="preserve"> zijn enkele perifere ziekenhuizen waar dit kan. </w:t>
      </w:r>
      <w:r w:rsidR="00D77151" w:rsidRPr="00376FEC">
        <w:rPr>
          <w:rFonts w:ascii="Calibri" w:eastAsia="Times New Roman" w:hAnsi="Calibri" w:cs="Calibri"/>
          <w:lang w:eastAsia="nl-NL"/>
        </w:rPr>
        <w:t xml:space="preserve">Wij raden </w:t>
      </w:r>
      <w:r w:rsidR="00D77151">
        <w:rPr>
          <w:rFonts w:ascii="Calibri" w:eastAsia="Times New Roman" w:hAnsi="Calibri" w:cs="Calibri"/>
          <w:lang w:eastAsia="nl-NL"/>
        </w:rPr>
        <w:t xml:space="preserve">dan wel </w:t>
      </w:r>
      <w:r w:rsidR="00D77151" w:rsidRPr="00376FEC">
        <w:rPr>
          <w:rFonts w:ascii="Calibri" w:eastAsia="Times New Roman" w:hAnsi="Calibri" w:cs="Calibri"/>
          <w:lang w:eastAsia="nl-NL"/>
        </w:rPr>
        <w:t xml:space="preserve">aan altijd een urine monster dubbel af te nemen en in te sturen naar het Erasmus MC ter controle aangezien het verschil tussen uitslagen in verschillende laboratoria groot kan zijn. </w:t>
      </w:r>
    </w:p>
    <w:p w:rsidR="00376FEC" w:rsidRPr="00376FEC" w:rsidRDefault="00376FEC" w:rsidP="00376FE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 w:rsidRPr="00376FEC">
        <w:rPr>
          <w:rFonts w:ascii="Calibri" w:eastAsia="Times New Roman" w:hAnsi="Calibri" w:cs="Calibri"/>
          <w:lang w:eastAsia="nl-NL"/>
        </w:rPr>
        <w:t>Mocht d</w:t>
      </w:r>
      <w:r w:rsidR="00D77151">
        <w:rPr>
          <w:rFonts w:ascii="Calibri" w:eastAsia="Times New Roman" w:hAnsi="Calibri" w:cs="Calibri"/>
          <w:lang w:eastAsia="nl-NL"/>
        </w:rPr>
        <w:t>e bepaling in urine</w:t>
      </w:r>
      <w:r w:rsidRPr="00376FEC">
        <w:rPr>
          <w:rFonts w:ascii="Calibri" w:eastAsia="Times New Roman" w:hAnsi="Calibri" w:cs="Calibri"/>
          <w:lang w:eastAsia="nl-NL"/>
        </w:rPr>
        <w:t xml:space="preserve"> </w:t>
      </w:r>
      <w:proofErr w:type="spellStart"/>
      <w:r w:rsidRPr="00376FEC">
        <w:rPr>
          <w:rFonts w:ascii="Calibri" w:eastAsia="Times New Roman" w:hAnsi="Calibri" w:cs="Calibri"/>
          <w:lang w:eastAsia="nl-NL"/>
        </w:rPr>
        <w:t>in</w:t>
      </w:r>
      <w:proofErr w:type="spellEnd"/>
      <w:r w:rsidRPr="00376FEC">
        <w:rPr>
          <w:rFonts w:ascii="Calibri" w:eastAsia="Times New Roman" w:hAnsi="Calibri" w:cs="Calibri"/>
          <w:lang w:eastAsia="nl-NL"/>
        </w:rPr>
        <w:t xml:space="preserve"> uw ziekenhuis niet mogelijk zijn</w:t>
      </w:r>
      <w:r w:rsidR="00D77151">
        <w:rPr>
          <w:rFonts w:ascii="Calibri" w:eastAsia="Times New Roman" w:hAnsi="Calibri" w:cs="Calibri"/>
          <w:lang w:eastAsia="nl-NL"/>
        </w:rPr>
        <w:t>,</w:t>
      </w:r>
      <w:r w:rsidRPr="00376FEC">
        <w:rPr>
          <w:rFonts w:ascii="Calibri" w:eastAsia="Times New Roman" w:hAnsi="Calibri" w:cs="Calibri"/>
          <w:lang w:eastAsia="nl-NL"/>
        </w:rPr>
        <w:t xml:space="preserve"> dan kan de urine worden verstuurd naar het Erasmus MC </w:t>
      </w:r>
      <w:r w:rsidRPr="00376FEC">
        <w:rPr>
          <w:rFonts w:ascii="Calibri" w:eastAsia="Times New Roman" w:hAnsi="Calibri" w:cs="Calibri"/>
          <w:b/>
          <w:bCs/>
          <w:lang w:eastAsia="nl-NL"/>
        </w:rPr>
        <w:t>in een urinecontainer, koel bewaard en beschermd tegen licht.</w:t>
      </w:r>
      <w:r w:rsidRPr="00376FEC">
        <w:rPr>
          <w:rFonts w:ascii="Calibri" w:eastAsia="Times New Roman" w:hAnsi="Calibri" w:cs="Calibri"/>
          <w:lang w:eastAsia="nl-NL"/>
        </w:rPr>
        <w:t xml:space="preserve"> </w:t>
      </w:r>
      <w:r w:rsidRPr="00376FEC">
        <w:rPr>
          <w:rFonts w:ascii="Calibri" w:eastAsia="Times New Roman" w:hAnsi="Calibri" w:cs="Calibri"/>
          <w:b/>
          <w:bCs/>
          <w:lang w:eastAsia="nl-NL"/>
        </w:rPr>
        <w:t>Graag tevoren telefonisch overleg met de metabool internist van het Erasmus MC.</w:t>
      </w:r>
      <w:r w:rsidRPr="00376FEC">
        <w:rPr>
          <w:rFonts w:ascii="Calibri" w:eastAsia="Times New Roman" w:hAnsi="Calibri" w:cs="Calibri"/>
          <w:lang w:eastAsia="nl-NL"/>
        </w:rPr>
        <w:t xml:space="preserve"> </w:t>
      </w:r>
    </w:p>
    <w:p w:rsidR="00566AB3" w:rsidRDefault="00566AB3">
      <w:pPr>
        <w:rPr>
          <w:rFonts w:ascii="Calibri" w:eastAsia="Times New Roman" w:hAnsi="Calibri" w:cs="Calibri"/>
          <w:b/>
          <w:bCs/>
          <w:sz w:val="28"/>
          <w:szCs w:val="28"/>
          <w:lang w:eastAsia="nl-NL"/>
        </w:rPr>
      </w:pPr>
    </w:p>
    <w:p w:rsidR="00566AB3" w:rsidRP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sz w:val="28"/>
          <w:szCs w:val="28"/>
          <w:lang w:eastAsia="nl-NL"/>
        </w:rPr>
      </w:pPr>
      <w:r w:rsidRPr="00566AB3">
        <w:rPr>
          <w:rFonts w:ascii="Calibri" w:eastAsia="Times New Roman" w:hAnsi="Calibri" w:cs="Calibri"/>
          <w:b/>
          <w:bCs/>
          <w:sz w:val="28"/>
          <w:szCs w:val="28"/>
          <w:lang w:eastAsia="nl-NL"/>
        </w:rPr>
        <w:t xml:space="preserve">Protocol voor heem behandeling: 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 w:rsidRPr="00566AB3">
        <w:rPr>
          <w:rFonts w:ascii="Calibri" w:eastAsia="Times New Roman" w:hAnsi="Calibri" w:cs="Calibri"/>
          <w:lang w:eastAsia="nl-NL"/>
        </w:rPr>
        <w:t xml:space="preserve">Toediening: spoel de veneuze toegang met ~20 cc 0,9% </w:t>
      </w:r>
      <w:proofErr w:type="spellStart"/>
      <w:r w:rsidRPr="00566AB3">
        <w:rPr>
          <w:rFonts w:ascii="Calibri" w:eastAsia="Times New Roman" w:hAnsi="Calibri" w:cs="Calibri"/>
          <w:lang w:eastAsia="nl-NL"/>
        </w:rPr>
        <w:t>NaCl</w:t>
      </w:r>
      <w:proofErr w:type="spellEnd"/>
      <w:r w:rsidRPr="00566AB3">
        <w:rPr>
          <w:rFonts w:ascii="Calibri" w:eastAsia="Times New Roman" w:hAnsi="Calibri" w:cs="Calibri"/>
          <w:lang w:eastAsia="nl-NL"/>
        </w:rPr>
        <w:t xml:space="preserve">. 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 w:rsidRPr="00566AB3">
        <w:rPr>
          <w:rFonts w:ascii="Calibri" w:eastAsia="Times New Roman" w:hAnsi="Calibri" w:cs="Calibri"/>
          <w:lang w:eastAsia="nl-NL"/>
        </w:rPr>
        <w:t xml:space="preserve">Los de heem oplossing op in albumine (100 ml; 20%, albumine); alleen bij gebrek aan albumine oplossen in 100 ml </w:t>
      </w:r>
      <w:proofErr w:type="spellStart"/>
      <w:r w:rsidRPr="00566AB3">
        <w:rPr>
          <w:rFonts w:ascii="Calibri" w:eastAsia="Times New Roman" w:hAnsi="Calibri" w:cs="Calibri"/>
          <w:lang w:eastAsia="nl-NL"/>
        </w:rPr>
        <w:t>NaCL</w:t>
      </w:r>
      <w:proofErr w:type="spellEnd"/>
      <w:r w:rsidRPr="00566AB3">
        <w:rPr>
          <w:rFonts w:ascii="Calibri" w:eastAsia="Times New Roman" w:hAnsi="Calibri" w:cs="Calibri"/>
          <w:lang w:eastAsia="nl-NL"/>
        </w:rPr>
        <w:t xml:space="preserve"> 0,9%. </w:t>
      </w:r>
    </w:p>
    <w:p w:rsid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 w:rsidRPr="00566AB3">
        <w:rPr>
          <w:rFonts w:ascii="Calibri" w:eastAsia="Times New Roman" w:hAnsi="Calibri" w:cs="Calibri"/>
          <w:lang w:eastAsia="nl-NL"/>
        </w:rPr>
        <w:t xml:space="preserve">Bescherm de heemoplossing tegen licht door het flesje en de infuuslijn in aluminiumfolie te wikkelen. 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 w:rsidRPr="00566AB3">
        <w:rPr>
          <w:rFonts w:ascii="Calibri" w:eastAsia="Times New Roman" w:hAnsi="Calibri" w:cs="Calibri"/>
          <w:lang w:eastAsia="nl-NL"/>
        </w:rPr>
        <w:t xml:space="preserve">Dien intraveneus toe in 30 min, bij voorkeur via een infuuslijn met filter in een grote perifere vene. 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 w:rsidRPr="00566AB3">
        <w:rPr>
          <w:rFonts w:ascii="Calibri" w:eastAsia="Times New Roman" w:hAnsi="Calibri" w:cs="Calibri"/>
          <w:lang w:eastAsia="nl-NL"/>
        </w:rPr>
        <w:t xml:space="preserve">Spoel na de </w:t>
      </w:r>
      <w:proofErr w:type="spellStart"/>
      <w:r w:rsidRPr="00566AB3">
        <w:rPr>
          <w:rFonts w:ascii="Calibri" w:eastAsia="Times New Roman" w:hAnsi="Calibri" w:cs="Calibri"/>
          <w:lang w:eastAsia="nl-NL"/>
        </w:rPr>
        <w:t>Normosang</w:t>
      </w:r>
      <w:proofErr w:type="spellEnd"/>
      <w:r w:rsidRPr="00566AB3">
        <w:rPr>
          <w:rFonts w:ascii="Calibri" w:eastAsia="Times New Roman" w:hAnsi="Calibri" w:cs="Calibri"/>
          <w:lang w:eastAsia="nl-NL"/>
        </w:rPr>
        <w:t xml:space="preserve"> toediening na met 100 ml 0,9% </w:t>
      </w:r>
      <w:proofErr w:type="spellStart"/>
      <w:r w:rsidRPr="00566AB3">
        <w:rPr>
          <w:rFonts w:ascii="Calibri" w:eastAsia="Times New Roman" w:hAnsi="Calibri" w:cs="Calibri"/>
          <w:lang w:eastAsia="nl-NL"/>
        </w:rPr>
        <w:t>NaCl</w:t>
      </w:r>
      <w:proofErr w:type="spellEnd"/>
      <w:r w:rsidRPr="00566AB3">
        <w:rPr>
          <w:rFonts w:ascii="Calibri" w:eastAsia="Times New Roman" w:hAnsi="Calibri" w:cs="Calibri"/>
          <w:lang w:eastAsia="nl-NL"/>
        </w:rPr>
        <w:t xml:space="preserve">. </w:t>
      </w:r>
    </w:p>
    <w:p w:rsidR="00566AB3" w:rsidRPr="00566AB3" w:rsidRDefault="00EF7E80" w:rsidP="00566AB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Indien mogelijk: b</w:t>
      </w:r>
      <w:r w:rsidR="00566AB3" w:rsidRPr="00566AB3">
        <w:rPr>
          <w:rFonts w:ascii="Calibri" w:eastAsia="Times New Roman" w:hAnsi="Calibri" w:cs="Calibri"/>
          <w:lang w:eastAsia="nl-NL"/>
        </w:rPr>
        <w:t xml:space="preserve">evestig het biochemische effect door meting van ALA en PBG na de derde infusie. </w:t>
      </w:r>
    </w:p>
    <w:p w:rsidR="00566AB3" w:rsidRPr="00C646B7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nl-NL"/>
        </w:rPr>
      </w:pPr>
      <w:r w:rsidRPr="00566AB3">
        <w:rPr>
          <w:rFonts w:eastAsia="Times New Roman" w:cstheme="minorHAnsi"/>
          <w:b/>
          <w:bCs/>
          <w:sz w:val="28"/>
          <w:szCs w:val="28"/>
          <w:lang w:eastAsia="nl-NL"/>
        </w:rPr>
        <w:lastRenderedPageBreak/>
        <w:t>Pre</w:t>
      </w:r>
      <w:r w:rsidR="00C646B7">
        <w:rPr>
          <w:rFonts w:eastAsia="Times New Roman" w:cstheme="minorHAnsi"/>
          <w:b/>
          <w:bCs/>
          <w:sz w:val="28"/>
          <w:szCs w:val="28"/>
          <w:lang w:eastAsia="nl-NL"/>
        </w:rPr>
        <w:t xml:space="preserve">operatief beleid </w:t>
      </w:r>
      <w:r w:rsidRPr="00566AB3">
        <w:rPr>
          <w:rFonts w:eastAsia="Times New Roman" w:cstheme="minorHAnsi"/>
          <w:b/>
          <w:bCs/>
          <w:sz w:val="28"/>
          <w:szCs w:val="28"/>
          <w:lang w:eastAsia="nl-NL"/>
        </w:rPr>
        <w:t>v</w:t>
      </w:r>
      <w:r w:rsidR="00C646B7">
        <w:rPr>
          <w:rFonts w:eastAsia="Times New Roman" w:cstheme="minorHAnsi"/>
          <w:b/>
          <w:bCs/>
          <w:sz w:val="28"/>
          <w:szCs w:val="28"/>
          <w:lang w:eastAsia="nl-NL"/>
        </w:rPr>
        <w:t xml:space="preserve">oor patiënten met (dragerschap voor) acute porfyrie 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- Controleer of diagnose acute porfyrie correct is.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- In geval van een acute porfyrie is het mogelijk om een electieve OK uit te stellen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- Zorg dat patiënt als eerste op het OK-programma staat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 xml:space="preserve">- Controleer medicatie op veiligheid </w:t>
      </w:r>
      <w:r w:rsidRPr="00566AB3">
        <w:rPr>
          <w:rFonts w:eastAsia="Times New Roman" w:cstheme="minorHAnsi"/>
          <w:u w:val="single"/>
          <w:lang w:eastAsia="nl-NL"/>
        </w:rPr>
        <w:t>www.drugs-porphyria</w:t>
      </w:r>
      <w:r w:rsidRPr="00566AB3">
        <w:rPr>
          <w:rFonts w:eastAsia="Times New Roman" w:cstheme="minorHAnsi"/>
          <w:lang w:eastAsia="nl-NL"/>
        </w:rPr>
        <w:t>.org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- Zorg voor goede premedicatie (benzodiazepines) om stress te reduceren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- Geef pre- en perioperatief glucose infuus 5%, 3 L/24 uur (glucose remt ALA-</w:t>
      </w:r>
      <w:proofErr w:type="spellStart"/>
      <w:r w:rsidRPr="00566AB3">
        <w:rPr>
          <w:rFonts w:eastAsia="Times New Roman" w:cstheme="minorHAnsi"/>
          <w:lang w:eastAsia="nl-NL"/>
        </w:rPr>
        <w:t>synthase</w:t>
      </w:r>
      <w:proofErr w:type="spellEnd"/>
      <w:r w:rsidRPr="00566AB3">
        <w:rPr>
          <w:rFonts w:eastAsia="Times New Roman" w:cstheme="minorHAnsi"/>
          <w:lang w:eastAsia="nl-NL"/>
        </w:rPr>
        <w:t>)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vanaf moment van nuchter zijn.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 xml:space="preserve">- Controleer pre- en perioperatief </w:t>
      </w:r>
      <w:proofErr w:type="spellStart"/>
      <w:r w:rsidRPr="00566AB3">
        <w:rPr>
          <w:rFonts w:eastAsia="Times New Roman" w:cstheme="minorHAnsi"/>
          <w:lang w:eastAsia="nl-NL"/>
        </w:rPr>
        <w:t>electrolyten</w:t>
      </w:r>
      <w:proofErr w:type="spellEnd"/>
      <w:r w:rsidRPr="00566AB3">
        <w:rPr>
          <w:rFonts w:eastAsia="Times New Roman" w:cstheme="minorHAnsi"/>
          <w:lang w:eastAsia="nl-NL"/>
        </w:rPr>
        <w:t xml:space="preserve"> en glucose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eastAsia="nl-NL"/>
        </w:rPr>
      </w:pP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nl-NL"/>
        </w:rPr>
      </w:pPr>
      <w:r w:rsidRPr="00566AB3">
        <w:rPr>
          <w:rFonts w:eastAsia="Times New Roman" w:cstheme="minorHAnsi"/>
          <w:b/>
          <w:bCs/>
          <w:sz w:val="28"/>
          <w:szCs w:val="28"/>
          <w:lang w:eastAsia="nl-NL"/>
        </w:rPr>
        <w:t>Informatie over acute intermitterende porfyrie.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nl-NL"/>
        </w:rPr>
      </w:pPr>
      <w:r w:rsidRPr="00566AB3">
        <w:rPr>
          <w:rFonts w:eastAsia="Times New Roman" w:cstheme="minorHAnsi"/>
          <w:b/>
          <w:bCs/>
          <w:lang w:eastAsia="nl-NL"/>
        </w:rPr>
        <w:t>Inleiding: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 xml:space="preserve">Acute porfyrie is een erfelijk aandoening in de synthese van </w:t>
      </w:r>
      <w:proofErr w:type="spellStart"/>
      <w:r w:rsidRPr="00566AB3">
        <w:rPr>
          <w:rFonts w:eastAsia="Times New Roman" w:cstheme="minorHAnsi"/>
          <w:lang w:eastAsia="nl-NL"/>
        </w:rPr>
        <w:t>haem</w:t>
      </w:r>
      <w:proofErr w:type="spellEnd"/>
      <w:r w:rsidRPr="00566AB3">
        <w:rPr>
          <w:rFonts w:eastAsia="Times New Roman" w:cstheme="minorHAnsi"/>
          <w:lang w:eastAsia="nl-NL"/>
        </w:rPr>
        <w:t xml:space="preserve"> (incidentie 1 per 20.000).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proofErr w:type="spellStart"/>
      <w:r w:rsidRPr="00566AB3">
        <w:rPr>
          <w:rFonts w:eastAsia="Times New Roman" w:cstheme="minorHAnsi"/>
          <w:lang w:eastAsia="nl-NL"/>
        </w:rPr>
        <w:t>Haem</w:t>
      </w:r>
      <w:proofErr w:type="spellEnd"/>
      <w:r w:rsidRPr="00566AB3">
        <w:rPr>
          <w:rFonts w:eastAsia="Times New Roman" w:cstheme="minorHAnsi"/>
          <w:lang w:eastAsia="nl-NL"/>
        </w:rPr>
        <w:t xml:space="preserve"> wordt door verschillende enzymen gesynthetiseerd in een reeks van reacties en is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essentieel voor de werking van diverse eiwitten (cytochroom P450, hemoglobine,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proofErr w:type="spellStart"/>
      <w:r w:rsidRPr="00566AB3">
        <w:rPr>
          <w:rFonts w:eastAsia="Times New Roman" w:cstheme="minorHAnsi"/>
          <w:lang w:eastAsia="nl-NL"/>
        </w:rPr>
        <w:t>myoglobine</w:t>
      </w:r>
      <w:proofErr w:type="spellEnd"/>
      <w:r w:rsidRPr="00566AB3">
        <w:rPr>
          <w:rFonts w:eastAsia="Times New Roman" w:cstheme="minorHAnsi"/>
          <w:lang w:eastAsia="nl-NL"/>
        </w:rPr>
        <w:t>). Als door een genetische afwijking een van deze enzymen niet goed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functioneert, kunnen de toxische tussenproducten zich opstapelen. Er zijn verschillende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vormen van porfyrie afhankelijk van het disfunctioneerde enzym (en dus het tussenproduct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dat zich ophoopt). Het is echter de stapeling van d-ALA dat de klachten veroorzaakt van een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acute porfyrie aanval. Voor de anesthesie is acute porfyrie het meest relevant gezien de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neurologische en hemodynamische consequenties. Dit protocol heeft daarom ook alleen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betrekking op deze vorm van porfyrie.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nl-NL"/>
        </w:rPr>
      </w:pPr>
      <w:r w:rsidRPr="00566AB3">
        <w:rPr>
          <w:rFonts w:eastAsia="Times New Roman" w:cstheme="minorHAnsi"/>
          <w:b/>
          <w:bCs/>
          <w:lang w:eastAsia="nl-NL"/>
        </w:rPr>
        <w:t>Pathogenese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 xml:space="preserve">Een acute porfyrie ontstaat indien de productie van </w:t>
      </w:r>
      <w:proofErr w:type="spellStart"/>
      <w:r w:rsidRPr="00566AB3">
        <w:rPr>
          <w:rFonts w:eastAsia="Times New Roman" w:cstheme="minorHAnsi"/>
          <w:lang w:eastAsia="nl-NL"/>
        </w:rPr>
        <w:t>haem</w:t>
      </w:r>
      <w:proofErr w:type="spellEnd"/>
      <w:r w:rsidRPr="00566AB3">
        <w:rPr>
          <w:rFonts w:eastAsia="Times New Roman" w:cstheme="minorHAnsi"/>
          <w:lang w:eastAsia="nl-NL"/>
        </w:rPr>
        <w:t xml:space="preserve"> snel wordt verhoogd. De regulatie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wordt bepaald door het eerste enzym in de cascade (ALA-</w:t>
      </w:r>
      <w:proofErr w:type="spellStart"/>
      <w:r w:rsidRPr="00566AB3">
        <w:rPr>
          <w:rFonts w:eastAsia="Times New Roman" w:cstheme="minorHAnsi"/>
          <w:lang w:eastAsia="nl-NL"/>
        </w:rPr>
        <w:t>synthase</w:t>
      </w:r>
      <w:proofErr w:type="spellEnd"/>
      <w:r w:rsidRPr="00566AB3">
        <w:rPr>
          <w:rFonts w:eastAsia="Times New Roman" w:cstheme="minorHAnsi"/>
          <w:lang w:eastAsia="nl-NL"/>
        </w:rPr>
        <w:t>). Deze wordt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 xml:space="preserve">gestimuleerd door een tekort aan </w:t>
      </w:r>
      <w:proofErr w:type="spellStart"/>
      <w:r w:rsidRPr="00566AB3">
        <w:rPr>
          <w:rFonts w:eastAsia="Times New Roman" w:cstheme="minorHAnsi"/>
          <w:lang w:eastAsia="nl-NL"/>
        </w:rPr>
        <w:t>haem</w:t>
      </w:r>
      <w:proofErr w:type="spellEnd"/>
      <w:r w:rsidRPr="00566AB3">
        <w:rPr>
          <w:rFonts w:eastAsia="Times New Roman" w:cstheme="minorHAnsi"/>
          <w:lang w:eastAsia="nl-NL"/>
        </w:rPr>
        <w:t xml:space="preserve"> bij vasten, onvoldoende koolhydraten, stress,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infectie (acute fase eiwitten), hormonen en geneesmiddelen, die CYP450 induceren.</w:t>
      </w:r>
    </w:p>
    <w:p w:rsid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nl-NL"/>
        </w:rPr>
      </w:pP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nl-NL"/>
        </w:rPr>
      </w:pPr>
      <w:r w:rsidRPr="00566AB3">
        <w:rPr>
          <w:rFonts w:eastAsia="Times New Roman" w:cstheme="minorHAnsi"/>
          <w:b/>
          <w:bCs/>
          <w:sz w:val="28"/>
          <w:szCs w:val="28"/>
          <w:lang w:eastAsia="nl-NL"/>
        </w:rPr>
        <w:t>Symptomen van acute porfyrie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De symptomen van acute porfyrie: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 xml:space="preserve">1. Autonome neuropathie: heftige </w:t>
      </w:r>
      <w:r w:rsidRPr="00566AB3">
        <w:rPr>
          <w:rFonts w:eastAsia="Times New Roman" w:cstheme="minorHAnsi"/>
          <w:b/>
          <w:bCs/>
          <w:lang w:eastAsia="nl-NL"/>
        </w:rPr>
        <w:t xml:space="preserve">buikpijn </w:t>
      </w:r>
      <w:r w:rsidRPr="00566AB3">
        <w:rPr>
          <w:rFonts w:eastAsia="Times New Roman" w:cstheme="minorHAnsi"/>
          <w:lang w:eastAsia="nl-NL"/>
        </w:rPr>
        <w:t>uitstralend naar rug en bovenbenen,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obstipatie (sporadisch diarree) en braken, hypertensie, tachycardie en urineretentie.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 xml:space="preserve">2. Perifere neuropathie: </w:t>
      </w:r>
      <w:proofErr w:type="spellStart"/>
      <w:r w:rsidRPr="00566AB3">
        <w:rPr>
          <w:rFonts w:eastAsia="Times New Roman" w:cstheme="minorHAnsi"/>
          <w:lang w:eastAsia="nl-NL"/>
        </w:rPr>
        <w:t>paresthesiën</w:t>
      </w:r>
      <w:proofErr w:type="spellEnd"/>
      <w:r w:rsidRPr="00566AB3">
        <w:rPr>
          <w:rFonts w:eastAsia="Times New Roman" w:cstheme="minorHAnsi"/>
          <w:lang w:eastAsia="nl-NL"/>
        </w:rPr>
        <w:t xml:space="preserve"> en pareses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 xml:space="preserve">3. CNS: angstig, verwardheid tot psychosen, SIADH met ernstige </w:t>
      </w:r>
      <w:proofErr w:type="spellStart"/>
      <w:r w:rsidRPr="00566AB3">
        <w:rPr>
          <w:rFonts w:eastAsia="Times New Roman" w:cstheme="minorHAnsi"/>
          <w:lang w:eastAsia="nl-NL"/>
        </w:rPr>
        <w:t>hyponatriëmie</w:t>
      </w:r>
      <w:proofErr w:type="spellEnd"/>
      <w:r w:rsidRPr="00566AB3">
        <w:rPr>
          <w:rFonts w:eastAsia="Times New Roman" w:cstheme="minorHAnsi"/>
          <w:lang w:eastAsia="nl-NL"/>
        </w:rPr>
        <w:t>,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visusstoornissen, tonisch-clonisch insulten en coma.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 xml:space="preserve">Vooral de </w:t>
      </w:r>
      <w:r w:rsidRPr="00566AB3">
        <w:rPr>
          <w:rFonts w:eastAsia="Times New Roman" w:cstheme="minorHAnsi"/>
          <w:b/>
          <w:bCs/>
          <w:lang w:eastAsia="nl-NL"/>
        </w:rPr>
        <w:t xml:space="preserve">buikpijn </w:t>
      </w:r>
      <w:r w:rsidRPr="00566AB3">
        <w:rPr>
          <w:rFonts w:eastAsia="Times New Roman" w:cstheme="minorHAnsi"/>
          <w:lang w:eastAsia="nl-NL"/>
        </w:rPr>
        <w:t>staat bij een aanval van acute porfyrie bij wakkere patiënten op de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566AB3">
        <w:rPr>
          <w:rFonts w:eastAsia="Times New Roman" w:cstheme="minorHAnsi"/>
          <w:lang w:eastAsia="nl-NL"/>
        </w:rPr>
        <w:t>voorgrond.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eastAsia="Times New Roman" w:cstheme="minorHAnsi"/>
          <w:lang w:eastAsia="nl-NL"/>
        </w:rPr>
        <w:br w:type="page"/>
      </w:r>
      <w:r w:rsidR="00D83C0B">
        <w:rPr>
          <w:rFonts w:eastAsia="Times New Roman" w:cstheme="minorHAnsi"/>
          <w:lang w:eastAsia="nl-NL"/>
        </w:rPr>
        <w:lastRenderedPageBreak/>
        <w:t xml:space="preserve">Bijlage </w:t>
      </w:r>
      <w:r w:rsidRPr="00566AB3">
        <w:rPr>
          <w:rFonts w:ascii="Arial" w:eastAsia="Times New Roman" w:hAnsi="Arial" w:cs="Arial"/>
          <w:sz w:val="19"/>
          <w:szCs w:val="19"/>
          <w:lang w:eastAsia="nl-NL"/>
        </w:rPr>
        <w:t>1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eastAsia="nl-NL"/>
        </w:rPr>
      </w:pP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eastAsia="nl-NL"/>
        </w:rPr>
      </w:pPr>
      <w:r w:rsidRPr="00566AB3">
        <w:rPr>
          <w:rFonts w:ascii="Calibri" w:eastAsia="Times New Roman" w:hAnsi="Calibri" w:cs="Calibri"/>
          <w:noProof/>
          <w:sz w:val="24"/>
          <w:szCs w:val="24"/>
          <w:lang w:eastAsia="nl-NL"/>
        </w:rPr>
        <w:drawing>
          <wp:inline distT="0" distB="0" distL="0" distR="0">
            <wp:extent cx="5038725" cy="4781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  <w:u w:val="single"/>
          <w:lang w:eastAsia="nl-NL"/>
        </w:rPr>
      </w:pPr>
      <w:r w:rsidRPr="00566AB3">
        <w:rPr>
          <w:rFonts w:ascii="Arial" w:eastAsia="Times New Roman" w:hAnsi="Arial" w:cs="Arial"/>
          <w:i/>
          <w:iCs/>
          <w:sz w:val="19"/>
          <w:szCs w:val="19"/>
          <w:u w:val="single"/>
          <w:lang w:eastAsia="nl-NL"/>
        </w:rPr>
        <w:t>Perioperatief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t>- Locoregionale anesthesie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Lidocaine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en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bupivacaine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kunnen veilig worden gebruikt. Locoregionale anesthesie is niet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t>gecontra-indiceer</w:t>
      </w:r>
      <w:r w:rsidR="00C646B7">
        <w:rPr>
          <w:rFonts w:ascii="Arial" w:eastAsia="Times New Roman" w:hAnsi="Arial" w:cs="Arial"/>
          <w:sz w:val="19"/>
          <w:szCs w:val="19"/>
          <w:lang w:eastAsia="nl-NL"/>
        </w:rPr>
        <w:t>d</w:t>
      </w:r>
      <w:r w:rsidRPr="00566AB3">
        <w:rPr>
          <w:rFonts w:ascii="Arial" w:eastAsia="Times New Roman" w:hAnsi="Arial" w:cs="Arial"/>
          <w:sz w:val="19"/>
          <w:szCs w:val="19"/>
          <w:lang w:eastAsia="nl-NL"/>
        </w:rPr>
        <w:t>, maar indien locoregionale anesthesie wordt overwogen bij acute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t>porfyrie moeten eventuele psychische toestand (verwardheid, psychose) en reeds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t>opgetreden neurogene schade (neuropathie) worden beoordeeld. (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Findley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>)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u w:val="single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u w:val="single"/>
          <w:lang w:eastAsia="nl-NL"/>
        </w:rPr>
        <w:t>- Sedativa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Voor de inductie is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propofol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het meest geschikt.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Ketamine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kan voor inductie worden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gebruikt bij zeer slechte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hemodynamiek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(tweede keus gezien enzym inductie). Barbituraten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t>(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thiopental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) en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etomidaat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zijn gecontra-indiceerd. Voor onderhoud wordt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propofol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(TCI)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ontraden, aangezien bij langdurig gebruik van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propofol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er mogelijk enzym inductie optreedt.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Desfluraan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en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sevofluraan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worden als veilig beschouwd. (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Rigal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>)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u w:val="single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u w:val="single"/>
          <w:lang w:eastAsia="nl-NL"/>
        </w:rPr>
        <w:t xml:space="preserve">- </w:t>
      </w:r>
      <w:proofErr w:type="spellStart"/>
      <w:r w:rsidRPr="00566AB3">
        <w:rPr>
          <w:rFonts w:ascii="Arial" w:eastAsia="Times New Roman" w:hAnsi="Arial" w:cs="Arial"/>
          <w:sz w:val="19"/>
          <w:szCs w:val="19"/>
          <w:u w:val="single"/>
          <w:lang w:eastAsia="nl-NL"/>
        </w:rPr>
        <w:t>Relaxantia</w:t>
      </w:r>
      <w:proofErr w:type="spellEnd"/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Succinylcholine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en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rocuronium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zijn veilig te gebruiken. Tevens zijn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neostigmine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en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glycopyrronium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niet gecontra-indiceerd. Atracurium is veilig toegediend bij een kleine groep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t>porfyrie patiënten, hoewel er wel er experimentele aanwijzingen zijn voor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porfyrinogeniciteit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>. (James)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u w:val="single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u w:val="single"/>
          <w:lang w:eastAsia="nl-NL"/>
        </w:rPr>
        <w:t>- Analgesie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lastRenderedPageBreak/>
        <w:t xml:space="preserve">Opiaten (morfine,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sufentanil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en buprenorfine) zijn veilig toe te dienen.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Fentanyl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en alfentanil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t>zijn frequent gebruikt bij porfyrie patiënten zonder complicaties. Paracetamol, ibuprofen en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indomethacine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kunnen ook veilig worden toegediend, maar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diclofenac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en </w:t>
      </w: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metamizole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zijn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lang w:eastAsia="nl-NL"/>
        </w:rPr>
        <w:t>gecontra-indiceerd.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u w:val="single"/>
          <w:lang w:eastAsia="nl-NL"/>
        </w:rPr>
      </w:pPr>
      <w:r w:rsidRPr="00566AB3">
        <w:rPr>
          <w:rFonts w:ascii="Arial" w:eastAsia="Times New Roman" w:hAnsi="Arial" w:cs="Arial"/>
          <w:sz w:val="19"/>
          <w:szCs w:val="19"/>
          <w:u w:val="single"/>
          <w:lang w:eastAsia="nl-NL"/>
        </w:rPr>
        <w:t>- Anti-emetica</w:t>
      </w:r>
    </w:p>
    <w:p w:rsidR="00566AB3" w:rsidRPr="008E6898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nl-NL"/>
        </w:rPr>
      </w:pPr>
      <w:proofErr w:type="spellStart"/>
      <w:r w:rsidRPr="00566AB3">
        <w:rPr>
          <w:rFonts w:ascii="Arial" w:eastAsia="Times New Roman" w:hAnsi="Arial" w:cs="Arial"/>
          <w:sz w:val="19"/>
          <w:szCs w:val="19"/>
          <w:lang w:eastAsia="nl-NL"/>
        </w:rPr>
        <w:t>Ondansetron</w:t>
      </w:r>
      <w:proofErr w:type="spellEnd"/>
      <w:r w:rsidRPr="00566AB3">
        <w:rPr>
          <w:rFonts w:ascii="Arial" w:eastAsia="Times New Roman" w:hAnsi="Arial" w:cs="Arial"/>
          <w:sz w:val="19"/>
          <w:szCs w:val="19"/>
          <w:lang w:eastAsia="nl-NL"/>
        </w:rPr>
        <w:t xml:space="preserve"> en droperidol zijn veilig toe te dienen. </w:t>
      </w:r>
      <w:r w:rsidRPr="008E6898">
        <w:rPr>
          <w:rFonts w:ascii="Arial" w:eastAsia="Times New Roman" w:hAnsi="Arial" w:cs="Arial"/>
          <w:sz w:val="19"/>
          <w:szCs w:val="19"/>
          <w:lang w:val="en-US" w:eastAsia="nl-NL"/>
        </w:rPr>
        <w:t>(James)</w:t>
      </w:r>
    </w:p>
    <w:p w:rsidR="00566AB3" w:rsidRPr="008E6898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val="en-US" w:eastAsia="nl-NL"/>
        </w:rPr>
      </w:pPr>
    </w:p>
    <w:p w:rsidR="00566AB3" w:rsidRPr="008E6898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val="en-US" w:eastAsia="nl-NL"/>
        </w:rPr>
      </w:pPr>
    </w:p>
    <w:p w:rsidR="00566AB3" w:rsidRPr="008E6898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val="en-US" w:eastAsia="nl-NL"/>
        </w:rPr>
      </w:pPr>
    </w:p>
    <w:p w:rsidR="00566AB3" w:rsidRPr="008E6898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val="en-US" w:eastAsia="nl-NL"/>
        </w:rPr>
      </w:pP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val="en-US" w:eastAsia="nl-NL"/>
        </w:rPr>
      </w:pPr>
      <w:r w:rsidRPr="00566AB3">
        <w:rPr>
          <w:rFonts w:ascii="Arial" w:eastAsia="Times New Roman" w:hAnsi="Arial" w:cs="Arial"/>
          <w:b/>
          <w:bCs/>
          <w:sz w:val="19"/>
          <w:szCs w:val="19"/>
          <w:lang w:val="en-US" w:eastAsia="nl-NL"/>
        </w:rPr>
        <w:t>Websites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nl-NL"/>
        </w:rPr>
      </w:pPr>
      <w:r w:rsidRPr="00566AB3">
        <w:rPr>
          <w:rFonts w:ascii="Arial" w:eastAsia="Times New Roman" w:hAnsi="Arial" w:cs="Arial"/>
          <w:sz w:val="19"/>
          <w:szCs w:val="19"/>
          <w:lang w:val="en-US" w:eastAsia="nl-NL"/>
        </w:rPr>
        <w:t>1. The drug database for acute porphyria: www.drugs-porphyria.org</w:t>
      </w:r>
    </w:p>
    <w:p w:rsidR="00566AB3" w:rsidRPr="00566AB3" w:rsidRDefault="00566AB3" w:rsidP="00566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nl-NL"/>
        </w:rPr>
      </w:pPr>
      <w:r w:rsidRPr="00566AB3">
        <w:rPr>
          <w:rFonts w:ascii="Arial" w:eastAsia="Times New Roman" w:hAnsi="Arial" w:cs="Arial"/>
          <w:sz w:val="19"/>
          <w:szCs w:val="19"/>
          <w:lang w:val="en-US" w:eastAsia="nl-NL"/>
        </w:rPr>
        <w:t>2. www.porphyria.eu</w:t>
      </w:r>
    </w:p>
    <w:sectPr w:rsidR="00566AB3" w:rsidRPr="00566AB3" w:rsidSect="00C231CA">
      <w:headerReference w:type="default" r:id="rId10"/>
      <w:headerReference w:type="first" r:id="rId11"/>
      <w:footerReference w:type="first" r:id="rId12"/>
      <w:pgSz w:w="11907" w:h="16839" w:code="9"/>
      <w:pgMar w:top="1440" w:right="2495" w:bottom="1440" w:left="1418" w:header="708" w:footer="708" w:gutter="0"/>
      <w:paperSrc w:first="1" w:other="3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6CAA">
      <w:pPr>
        <w:spacing w:after="0" w:line="240" w:lineRule="auto"/>
      </w:pPr>
      <w:r>
        <w:separator/>
      </w:r>
    </w:p>
  </w:endnote>
  <w:endnote w:type="continuationSeparator" w:id="0">
    <w:p w:rsidR="00000000" w:rsidRDefault="0094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CA" w:rsidRDefault="00566AB3">
    <w:pPr>
      <w:widowControl w:val="0"/>
      <w:rPr>
        <w:b/>
        <w:bCs/>
        <w:sz w:val="16"/>
        <w:szCs w:val="16"/>
      </w:rPr>
    </w:pPr>
    <w:r>
      <w:tab/>
    </w:r>
  </w:p>
  <w:p w:rsidR="00C231CA" w:rsidRDefault="00946CAA">
    <w:pPr>
      <w:widowControl w:val="0"/>
      <w:jc w:val="center"/>
    </w:pPr>
  </w:p>
  <w:p w:rsidR="00C231CA" w:rsidRDefault="00946CAA">
    <w:pPr>
      <w:widowControl w:val="0"/>
      <w:jc w:val="center"/>
    </w:pPr>
  </w:p>
  <w:p w:rsidR="00C231CA" w:rsidRDefault="00946CAA">
    <w:pPr>
      <w:widowControl w:val="0"/>
      <w:jc w:val="center"/>
    </w:pPr>
  </w:p>
  <w:p w:rsidR="00C231CA" w:rsidRDefault="00946CAA">
    <w:pPr>
      <w:widowControl w:val="0"/>
      <w:jc w:val="center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6CAA">
      <w:pPr>
        <w:spacing w:after="0" w:line="240" w:lineRule="auto"/>
      </w:pPr>
      <w:r>
        <w:separator/>
      </w:r>
    </w:p>
  </w:footnote>
  <w:footnote w:type="continuationSeparator" w:id="0">
    <w:p w:rsidR="00000000" w:rsidRDefault="0094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CA" w:rsidRDefault="00566AB3">
    <w:pPr>
      <w:widowControl w:val="0"/>
      <w:rPr>
        <w:color w:val="000000"/>
        <w:sz w:val="15"/>
        <w:szCs w:val="15"/>
      </w:rPr>
    </w:pPr>
    <w:r>
      <w:rPr>
        <w:rStyle w:val="Paginanummer"/>
        <w:rFonts w:ascii="Arial" w:hAnsi="Arial" w:cs="Arial"/>
        <w:b/>
        <w:bCs/>
        <w:color w:val="000000"/>
        <w:sz w:val="15"/>
        <w:szCs w:val="15"/>
      </w:rPr>
      <w:t>Pagina</w:t>
    </w:r>
    <w:r>
      <w:rPr>
        <w:rStyle w:val="Paginanummer"/>
        <w:rFonts w:ascii="Arial" w:hAnsi="Arial" w:cs="Arial"/>
        <w:color w:val="000000"/>
        <w:sz w:val="15"/>
        <w:szCs w:val="15"/>
      </w:rPr>
      <w:t xml:space="preserve"> </w:t>
    </w:r>
    <w:r>
      <w:rPr>
        <w:rStyle w:val="Paginanummer"/>
        <w:rFonts w:ascii="Arial" w:hAnsi="Arial" w:cs="Arial"/>
        <w:color w:val="000000"/>
        <w:sz w:val="15"/>
        <w:szCs w:val="15"/>
      </w:rPr>
      <w:fldChar w:fldCharType="begin"/>
    </w:r>
    <w:r>
      <w:rPr>
        <w:rStyle w:val="Paginanummer"/>
        <w:rFonts w:ascii="Arial" w:hAnsi="Arial" w:cs="Arial"/>
        <w:color w:val="000000"/>
        <w:sz w:val="15"/>
        <w:szCs w:val="15"/>
      </w:rPr>
      <w:instrText xml:space="preserve"> PAGE </w:instrText>
    </w:r>
    <w:r>
      <w:rPr>
        <w:rStyle w:val="Paginanummer"/>
        <w:rFonts w:ascii="Arial" w:hAnsi="Arial" w:cs="Arial"/>
        <w:color w:val="000000"/>
        <w:sz w:val="15"/>
        <w:szCs w:val="15"/>
      </w:rPr>
      <w:fldChar w:fldCharType="separate"/>
    </w:r>
    <w:r w:rsidR="00946CAA">
      <w:rPr>
        <w:rStyle w:val="Paginanummer"/>
        <w:rFonts w:ascii="Arial" w:hAnsi="Arial" w:cs="Arial"/>
        <w:noProof/>
        <w:color w:val="000000"/>
        <w:sz w:val="15"/>
        <w:szCs w:val="15"/>
      </w:rPr>
      <w:t>6</w:t>
    </w:r>
    <w:r>
      <w:rPr>
        <w:rStyle w:val="Paginanummer"/>
        <w:rFonts w:ascii="Arial" w:hAnsi="Arial" w:cs="Arial"/>
        <w:color w:val="000000"/>
        <w:sz w:val="15"/>
        <w:szCs w:val="15"/>
      </w:rPr>
      <w:fldChar w:fldCharType="end"/>
    </w:r>
  </w:p>
  <w:p w:rsidR="00C231CA" w:rsidRDefault="00566AB3">
    <w:pPr>
      <w:widowControl w:val="0"/>
      <w:rPr>
        <w:color w:val="000000"/>
        <w:sz w:val="15"/>
        <w:szCs w:val="15"/>
      </w:rPr>
    </w:pPr>
    <w:r>
      <w:rPr>
        <w:rStyle w:val="Paginanummer"/>
        <w:rFonts w:ascii="Arial" w:hAnsi="Arial" w:cs="Arial"/>
        <w:b/>
        <w:bCs/>
        <w:color w:val="000000"/>
        <w:sz w:val="15"/>
        <w:szCs w:val="15"/>
      </w:rPr>
      <w:t>Ons kenmerk</w:t>
    </w:r>
    <w:r>
      <w:rPr>
        <w:rStyle w:val="Paginanummer"/>
        <w:rFonts w:ascii="Arial" w:hAnsi="Arial" w:cs="Arial"/>
        <w:color w:val="000000"/>
        <w:sz w:val="15"/>
        <w:szCs w:val="15"/>
      </w:rPr>
      <w:t xml:space="preserve"> </w:t>
    </w:r>
    <w:r>
      <w:rPr>
        <w:rStyle w:val="Paginanummer"/>
        <w:rFonts w:ascii="Arial" w:hAnsi="Arial" w:cs="Arial"/>
        <w:color w:val="000000"/>
        <w:sz w:val="15"/>
        <w:szCs w:val="15"/>
      </w:rPr>
      <w:fldChar w:fldCharType="begin"/>
    </w:r>
    <w:r>
      <w:rPr>
        <w:rStyle w:val="Paginanummer"/>
        <w:rFonts w:ascii="Arial" w:hAnsi="Arial" w:cs="Arial"/>
        <w:color w:val="000000"/>
        <w:sz w:val="15"/>
        <w:szCs w:val="15"/>
      </w:rPr>
      <w:instrText>DOCVARIABLE WI_DOCUMENT.Documentnummer</w:instrText>
    </w:r>
    <w:r>
      <w:rPr>
        <w:rStyle w:val="Paginanummer"/>
        <w:rFonts w:ascii="Arial" w:hAnsi="Arial" w:cs="Arial"/>
        <w:color w:val="000000"/>
        <w:sz w:val="15"/>
        <w:szCs w:val="15"/>
      </w:rPr>
      <w:fldChar w:fldCharType="separate"/>
    </w:r>
    <w:r>
      <w:rPr>
        <w:rStyle w:val="Paginanummer"/>
        <w:rFonts w:ascii="Arial" w:hAnsi="Arial" w:cs="Arial"/>
        <w:color w:val="000000"/>
        <w:sz w:val="15"/>
        <w:szCs w:val="15"/>
      </w:rPr>
      <w:t>0206014550</w:t>
    </w:r>
    <w:r>
      <w:rPr>
        <w:rStyle w:val="Paginanummer"/>
        <w:rFonts w:ascii="Arial" w:hAnsi="Arial" w:cs="Arial"/>
        <w:color w:val="000000"/>
        <w:sz w:val="15"/>
        <w:szCs w:val="15"/>
      </w:rPr>
      <w:fldChar w:fldCharType="end"/>
    </w:r>
    <w:r>
      <w:rPr>
        <w:rStyle w:val="Paginanummer"/>
        <w:rFonts w:ascii="Arial" w:hAnsi="Arial" w:cs="Arial"/>
        <w:color w:val="000000"/>
        <w:sz w:val="15"/>
        <w:szCs w:val="15"/>
      </w:rPr>
      <w:t xml:space="preserve">, </w:t>
    </w:r>
    <w:r>
      <w:rPr>
        <w:rStyle w:val="Paginanummer"/>
        <w:rFonts w:ascii="Arial" w:hAnsi="Arial" w:cs="Arial"/>
        <w:color w:val="000000"/>
        <w:sz w:val="15"/>
        <w:szCs w:val="15"/>
      </w:rPr>
      <w:fldChar w:fldCharType="begin"/>
    </w:r>
    <w:r>
      <w:rPr>
        <w:rStyle w:val="Paginanummer"/>
        <w:rFonts w:ascii="Arial" w:hAnsi="Arial" w:cs="Arial"/>
        <w:color w:val="000000"/>
        <w:sz w:val="15"/>
        <w:szCs w:val="15"/>
      </w:rPr>
      <w:instrText>DOCVARIABLE WI_DOCUMENT.Patient.Schrijfnaam</w:instrText>
    </w:r>
    <w:r>
      <w:rPr>
        <w:rStyle w:val="Paginanummer"/>
        <w:rFonts w:ascii="Arial" w:hAnsi="Arial" w:cs="Arial"/>
        <w:color w:val="000000"/>
        <w:sz w:val="15"/>
        <w:szCs w:val="15"/>
      </w:rPr>
      <w:fldChar w:fldCharType="separate"/>
    </w:r>
    <w:r>
      <w:rPr>
        <w:rStyle w:val="Paginanummer"/>
        <w:rFonts w:ascii="Arial" w:hAnsi="Arial" w:cs="Arial"/>
        <w:color w:val="000000"/>
        <w:sz w:val="15"/>
        <w:szCs w:val="15"/>
      </w:rPr>
      <w:t xml:space="preserve">S.A. </w:t>
    </w:r>
    <w:proofErr w:type="spellStart"/>
    <w:r>
      <w:rPr>
        <w:rStyle w:val="Paginanummer"/>
        <w:rFonts w:ascii="Arial" w:hAnsi="Arial" w:cs="Arial"/>
        <w:color w:val="000000"/>
        <w:sz w:val="15"/>
        <w:szCs w:val="15"/>
      </w:rPr>
      <w:t>Heinze-Ormskirk</w:t>
    </w:r>
    <w:proofErr w:type="spellEnd"/>
    <w:r>
      <w:rPr>
        <w:rStyle w:val="Paginanummer"/>
        <w:rFonts w:ascii="Arial" w:hAnsi="Arial" w:cs="Arial"/>
        <w:color w:val="000000"/>
        <w:sz w:val="15"/>
        <w:szCs w:val="15"/>
      </w:rPr>
      <w:fldChar w:fldCharType="end"/>
    </w:r>
    <w:r>
      <w:rPr>
        <w:rStyle w:val="Paginanummer"/>
        <w:rFonts w:ascii="Arial" w:hAnsi="Arial" w:cs="Arial"/>
        <w:color w:val="000000"/>
        <w:sz w:val="15"/>
        <w:szCs w:val="15"/>
      </w:rPr>
      <w:t xml:space="preserve">, </w:t>
    </w:r>
    <w:r>
      <w:rPr>
        <w:rStyle w:val="Paginanummer"/>
        <w:rFonts w:ascii="Arial" w:hAnsi="Arial" w:cs="Arial"/>
        <w:color w:val="000000"/>
        <w:sz w:val="15"/>
        <w:szCs w:val="15"/>
      </w:rPr>
      <w:fldChar w:fldCharType="begin"/>
    </w:r>
    <w:r>
      <w:rPr>
        <w:rStyle w:val="Paginanummer"/>
        <w:rFonts w:ascii="Arial" w:hAnsi="Arial" w:cs="Arial"/>
        <w:color w:val="000000"/>
        <w:sz w:val="15"/>
        <w:szCs w:val="15"/>
      </w:rPr>
      <w:instrText>DOCVARIABLE WI_DOCUMENT.Patient.BurgerServiceNummerVoorComm</w:instrText>
    </w:r>
    <w:r>
      <w:rPr>
        <w:rStyle w:val="Paginanummer"/>
        <w:rFonts w:ascii="Arial" w:hAnsi="Arial" w:cs="Arial"/>
        <w:color w:val="000000"/>
        <w:sz w:val="15"/>
        <w:szCs w:val="15"/>
      </w:rPr>
      <w:fldChar w:fldCharType="separate"/>
    </w:r>
    <w:r>
      <w:rPr>
        <w:rStyle w:val="Paginanummer"/>
        <w:rFonts w:ascii="Arial" w:hAnsi="Arial" w:cs="Arial"/>
        <w:color w:val="000000"/>
        <w:sz w:val="15"/>
        <w:szCs w:val="15"/>
      </w:rPr>
      <w:t>117200244</w:t>
    </w:r>
    <w:r>
      <w:rPr>
        <w:rStyle w:val="Paginanummer"/>
        <w:rFonts w:ascii="Arial" w:hAnsi="Arial" w:cs="Arial"/>
        <w:color w:val="000000"/>
        <w:sz w:val="15"/>
        <w:szCs w:val="15"/>
      </w:rPr>
      <w:fldChar w:fldCharType="end"/>
    </w:r>
  </w:p>
  <w:p w:rsidR="00C231CA" w:rsidRDefault="00566AB3">
    <w:pPr>
      <w:widowControl w:val="0"/>
      <w:rPr>
        <w:color w:val="000000"/>
        <w:sz w:val="15"/>
        <w:szCs w:val="15"/>
      </w:rPr>
    </w:pPr>
    <w:r>
      <w:rPr>
        <w:rStyle w:val="Paginanummer"/>
        <w:rFonts w:ascii="Arial" w:hAnsi="Arial" w:cs="Arial"/>
        <w:b/>
        <w:bCs/>
        <w:color w:val="000000"/>
        <w:sz w:val="15"/>
        <w:szCs w:val="15"/>
        <w:lang w:eastAsia="nl-NL"/>
      </w:rPr>
      <w:t>Datum</w:t>
    </w:r>
    <w:r>
      <w:rPr>
        <w:rStyle w:val="Paginanummer"/>
        <w:rFonts w:ascii="Arial" w:hAnsi="Arial" w:cs="Arial"/>
        <w:color w:val="000000"/>
        <w:sz w:val="15"/>
        <w:szCs w:val="15"/>
        <w:lang w:eastAsia="nl-NL"/>
      </w:rPr>
      <w:t xml:space="preserve"> </w:t>
    </w:r>
    <w:r>
      <w:rPr>
        <w:rStyle w:val="Paginanummer"/>
        <w:rFonts w:ascii="Arial" w:hAnsi="Arial" w:cs="Arial"/>
        <w:color w:val="000000"/>
        <w:sz w:val="15"/>
        <w:szCs w:val="15"/>
        <w:lang w:eastAsia="nl-NL"/>
      </w:rPr>
      <w:fldChar w:fldCharType="begin"/>
    </w:r>
    <w:r>
      <w:rPr>
        <w:rStyle w:val="Paginanummer"/>
        <w:rFonts w:ascii="Arial" w:hAnsi="Arial" w:cs="Arial"/>
        <w:color w:val="000000"/>
        <w:sz w:val="15"/>
        <w:szCs w:val="15"/>
        <w:lang w:eastAsia="nl-NL"/>
      </w:rPr>
      <w:instrText>DOCVARIABLE WI_DOCUMENT.RouteerDatum</w:instrText>
    </w:r>
    <w:r>
      <w:rPr>
        <w:rStyle w:val="Paginanummer"/>
        <w:rFonts w:ascii="Arial" w:hAnsi="Arial" w:cs="Arial"/>
        <w:color w:val="000000"/>
        <w:sz w:val="15"/>
        <w:szCs w:val="15"/>
        <w:lang w:eastAsia="nl-NL"/>
      </w:rPr>
      <w:fldChar w:fldCharType="separate"/>
    </w:r>
    <w:r>
      <w:rPr>
        <w:rStyle w:val="Paginanummer"/>
        <w:rFonts w:ascii="Arial" w:hAnsi="Arial" w:cs="Arial"/>
        <w:color w:val="000000"/>
        <w:sz w:val="15"/>
        <w:szCs w:val="15"/>
        <w:lang w:eastAsia="nl-NL"/>
      </w:rPr>
      <w:t xml:space="preserve">  -  -    </w:t>
    </w:r>
    <w:r>
      <w:rPr>
        <w:rStyle w:val="Paginanummer"/>
        <w:rFonts w:ascii="Arial" w:hAnsi="Arial" w:cs="Arial"/>
        <w:color w:val="000000"/>
        <w:sz w:val="15"/>
        <w:szCs w:val="15"/>
        <w:lang w:eastAsia="nl-NL"/>
      </w:rPr>
      <w:fldChar w:fldCharType="end"/>
    </w:r>
  </w:p>
  <w:p w:rsidR="00C231CA" w:rsidRDefault="00946CAA">
    <w:pPr>
      <w:widowControl w:val="0"/>
      <w:rPr>
        <w:color w:val="000000"/>
        <w:sz w:val="15"/>
        <w:szCs w:val="15"/>
      </w:rPr>
    </w:pPr>
  </w:p>
  <w:p w:rsidR="00C231CA" w:rsidRDefault="00946CAA">
    <w:pPr>
      <w:widowControl w:val="0"/>
      <w:rPr>
        <w:color w:val="000000"/>
        <w:sz w:val="15"/>
        <w:szCs w:val="15"/>
      </w:rPr>
    </w:pPr>
  </w:p>
  <w:p w:rsidR="00C231CA" w:rsidRDefault="00946CAA">
    <w:pPr>
      <w:widowControl w:val="0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envoudigetabel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8" w:type="dxa"/>
        <w:right w:w="108" w:type="dxa"/>
      </w:tblCellMar>
      <w:tblLook w:val="04A0" w:firstRow="1" w:lastRow="0" w:firstColumn="1" w:lastColumn="0" w:noHBand="0" w:noVBand="1"/>
    </w:tblPr>
    <w:tblGrid>
      <w:gridCol w:w="7440"/>
      <w:gridCol w:w="2534"/>
    </w:tblGrid>
    <w:tr w:rsidR="00C231CA">
      <w:tc>
        <w:tcPr>
          <w:tcW w:w="744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231CA" w:rsidRDefault="00946CAA"/>
      </w:tc>
      <w:tc>
        <w:tcPr>
          <w:tcW w:w="253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231CA" w:rsidRDefault="00566AB3">
          <w:pPr>
            <w:widowControl w:val="0"/>
            <w:rPr>
              <w:b/>
              <w:bCs/>
              <w:color w:val="093367"/>
            </w:rPr>
          </w:pPr>
          <w:r>
            <w:rPr>
              <w:b/>
              <w:bCs/>
              <w:color w:val="093367"/>
            </w:rPr>
            <w:fldChar w:fldCharType="begin"/>
          </w:r>
          <w:r>
            <w:rPr>
              <w:b/>
              <w:bCs/>
              <w:color w:val="093367"/>
            </w:rPr>
            <w:instrText>DOCVARIABLE "WI_DOCUMENT.=IF(Value('Afdeling.AFDELINGSNUMMER')='DDH','Kanker</w:instrText>
          </w:r>
          <w:r>
            <w:rPr>
              <w:b/>
              <w:bCs/>
              <w:color w:val="093367"/>
              <w:lang w:val="nl-NL" w:eastAsia="nl-NL"/>
            </w:rPr>
            <w:instrText xml:space="preserve"> I</w:instrText>
          </w:r>
          <w:r>
            <w:rPr>
              <w:b/>
              <w:bCs/>
              <w:color w:val="093367"/>
            </w:rPr>
            <w:instrText>nstituut','')"</w:instrText>
          </w:r>
          <w:r>
            <w:rPr>
              <w:b/>
              <w:bCs/>
              <w:color w:val="093367"/>
            </w:rPr>
            <w:fldChar w:fldCharType="separate"/>
          </w:r>
          <w:r>
            <w:rPr>
              <w:b/>
              <w:bCs/>
              <w:color w:val="093367"/>
            </w:rPr>
            <w:t xml:space="preserve"> </w:t>
          </w:r>
          <w:r>
            <w:rPr>
              <w:b/>
              <w:bCs/>
              <w:color w:val="093367"/>
            </w:rPr>
            <w:fldChar w:fldCharType="end"/>
          </w:r>
        </w:p>
        <w:p w:rsidR="00C231CA" w:rsidRDefault="00566AB3">
          <w:pPr>
            <w:widowControl w:val="0"/>
            <w:rPr>
              <w:b/>
              <w:bCs/>
              <w:color w:val="093367"/>
            </w:rPr>
          </w:pPr>
          <w:r>
            <w:rPr>
              <w:b/>
              <w:bCs/>
              <w:color w:val="000000"/>
            </w:rPr>
            <w:fldChar w:fldCharType="begin"/>
          </w:r>
          <w:r>
            <w:rPr>
              <w:b/>
              <w:bCs/>
              <w:color w:val="000000"/>
            </w:rPr>
            <w:instrText>DOCVARIABLE WI_DOCUMENT.Afdeling.AFDELING</w:instrText>
          </w:r>
          <w:r>
            <w:rPr>
              <w:b/>
              <w:bCs/>
              <w:color w:val="000000"/>
            </w:rPr>
            <w:fldChar w:fldCharType="separate"/>
          </w:r>
          <w:r>
            <w:rPr>
              <w:b/>
              <w:bCs/>
              <w:color w:val="000000"/>
            </w:rPr>
            <w:t xml:space="preserve">Interne </w:t>
          </w:r>
          <w:proofErr w:type="spellStart"/>
          <w:r>
            <w:rPr>
              <w:b/>
              <w:bCs/>
              <w:color w:val="000000"/>
            </w:rPr>
            <w:t>Geneeskunde</w:t>
          </w:r>
          <w:proofErr w:type="spellEnd"/>
          <w:r>
            <w:rPr>
              <w:b/>
              <w:bCs/>
              <w:color w:val="000000"/>
            </w:rPr>
            <w:fldChar w:fldCharType="end"/>
          </w:r>
        </w:p>
        <w:p w:rsidR="00C231CA" w:rsidRDefault="00566AB3"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>DOCVARIABLE WI_DOCUMENT.Afdeling.DIVISIE</w:instrText>
          </w:r>
          <w:r>
            <w:rPr>
              <w:sz w:val="15"/>
              <w:szCs w:val="15"/>
            </w:rPr>
            <w:fldChar w:fldCharType="separate"/>
          </w:r>
          <w:r>
            <w:rPr>
              <w:sz w:val="15"/>
              <w:szCs w:val="15"/>
            </w:rPr>
            <w:t>Infectieziekten</w:t>
          </w:r>
          <w:r>
            <w:rPr>
              <w:sz w:val="15"/>
              <w:szCs w:val="15"/>
            </w:rPr>
            <w:fldChar w:fldCharType="end"/>
          </w:r>
        </w:p>
      </w:tc>
    </w:tr>
  </w:tbl>
  <w:p w:rsidR="00C231CA" w:rsidRDefault="00946C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20A"/>
    <w:multiLevelType w:val="hybridMultilevel"/>
    <w:tmpl w:val="FFFFFFFF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5886"/>
    <w:multiLevelType w:val="hybridMultilevel"/>
    <w:tmpl w:val="FE9A03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4449"/>
    <w:multiLevelType w:val="hybridMultilevel"/>
    <w:tmpl w:val="CBA293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401"/>
    <w:multiLevelType w:val="hybridMultilevel"/>
    <w:tmpl w:val="914A42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20A9"/>
    <w:multiLevelType w:val="hybridMultilevel"/>
    <w:tmpl w:val="FFFFFFFF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1506" w:hanging="360"/>
      </w:pPr>
    </w:lvl>
    <w:lvl w:ilvl="2" w:tplc="04130001">
      <w:start w:val="1"/>
      <w:numFmt w:val="bullet"/>
      <w:lvlText w:val="·"/>
      <w:lvlJc w:val="left"/>
      <w:pPr>
        <w:ind w:left="1506" w:hanging="360"/>
      </w:pPr>
      <w:rPr>
        <w:rFonts w:ascii="Symbol" w:hAnsi="Symbol" w:cs="Symbol"/>
      </w:rPr>
    </w:lvl>
    <w:lvl w:ilvl="3" w:tplc="0413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0413000F">
      <w:start w:val="1"/>
      <w:numFmt w:val="decimal"/>
      <w:lvlText w:val="%5."/>
      <w:lvlJc w:val="left"/>
      <w:pPr>
        <w:ind w:left="3600" w:hanging="360"/>
      </w:pPr>
    </w:lvl>
    <w:lvl w:ilvl="5" w:tplc="0413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0413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3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B33738E"/>
    <w:multiLevelType w:val="hybridMultilevel"/>
    <w:tmpl w:val="E21E13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33337"/>
    <w:multiLevelType w:val="hybridMultilevel"/>
    <w:tmpl w:val="2604D2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C00932"/>
    <w:multiLevelType w:val="hybridMultilevel"/>
    <w:tmpl w:val="32E4D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0ACF"/>
    <w:multiLevelType w:val="hybridMultilevel"/>
    <w:tmpl w:val="E1BCAF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B3"/>
    <w:rsid w:val="000005CF"/>
    <w:rsid w:val="00376FEC"/>
    <w:rsid w:val="003E3FEA"/>
    <w:rsid w:val="00566AB3"/>
    <w:rsid w:val="008E6898"/>
    <w:rsid w:val="00946CAA"/>
    <w:rsid w:val="00BD6348"/>
    <w:rsid w:val="00C646B7"/>
    <w:rsid w:val="00D352A6"/>
    <w:rsid w:val="00D77151"/>
    <w:rsid w:val="00D83C0B"/>
    <w:rsid w:val="00DF364E"/>
    <w:rsid w:val="00E05116"/>
    <w:rsid w:val="00E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FDA2"/>
  <w15:chartTrackingRefBased/>
  <w15:docId w15:val="{1DDA3111-0E50-45AA-8101-D09CF48E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uiPriority w:val="99"/>
    <w:rsid w:val="00566A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Standaardalinea-lettertype"/>
    <w:uiPriority w:val="99"/>
    <w:rsid w:val="00566AB3"/>
    <w:rPr>
      <w:rFonts w:ascii="Arial" w:hAnsi="Arial" w:cs="Arial"/>
      <w:color w:val="0000FF"/>
      <w:sz w:val="19"/>
      <w:szCs w:val="19"/>
      <w:u w:val="single"/>
    </w:rPr>
  </w:style>
  <w:style w:type="character" w:styleId="Paginanummer">
    <w:name w:val="page number"/>
    <w:basedOn w:val="Standaardalinea-lettertype"/>
    <w:uiPriority w:val="99"/>
    <w:rsid w:val="00566AB3"/>
    <w:rPr>
      <w:rFonts w:ascii="Times New Roman" w:hAnsi="Times New Roman" w:cs="Times New Roman"/>
      <w:color w:val="333399"/>
    </w:rPr>
  </w:style>
  <w:style w:type="table" w:styleId="Eenvoudigetabel1">
    <w:name w:val="Table Simple 1"/>
    <w:basedOn w:val="Standaardtabel"/>
    <w:uiPriority w:val="99"/>
    <w:rsid w:val="00566A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EF7E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EF7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gs-porphyr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ugs-porphyria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1440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N.C. de Jong - Peltenburg</dc:creator>
  <cp:keywords/>
  <dc:description/>
  <cp:lastModifiedBy>N.C. de Jong - Peltenburg</cp:lastModifiedBy>
  <cp:revision>5</cp:revision>
  <dcterms:created xsi:type="dcterms:W3CDTF">2020-03-16T09:16:00Z</dcterms:created>
  <dcterms:modified xsi:type="dcterms:W3CDTF">2020-03-16T10:18:00Z</dcterms:modified>
</cp:coreProperties>
</file>